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75" w:name="X47f7b28e7e36078028e7bb6b1e674601b031322"/>
    <w:p>
      <w:pPr>
        <w:pStyle w:val="Heading1"/>
        <w:jc w:val="center"/>
      </w:pPr>
      <w:r>
        <w:rPr>
          <w:rFonts w:ascii="Liberation Serif" w:hAnsi="Liberation Serif" w:eastAsia="Liberation Serif"/>
          <w:b/>
          <w:color w:val="000000"/>
          <w:sz w:val="44"/>
        </w:rPr>
        <w:t xml:space="preserve">BitFP: An Agent-Native Proof-of-Work System</w:t>
      </w:r>
    </w:p>
    <w:p>
      <w:pPr>
        <w:pStyle w:val="FirstParagraph"/>
        <w:jc w:val="center"/>
      </w:pPr>
      <w:r>
        <w:t>Technical Whitepaper v0.5 - Design Rationale, Formula, Security and Planned Research Edition</w:t>
        <w:br/>
        <w:t>Pre-Testnet Draft</w:t>
        <w:br/>
        <w:t>BitFP Project - bitfp.org</w:t>
        <w:br/>
        <w:t>September 2026</w:t>
      </w:r>
    </w:p>
    <w:p>
      <w:pPr>
        <w:pStyle w:val="BlockText"/>
      </w:pPr>
      <w:r>
        <w:rPr>
          <w:rFonts w:ascii="Liberation Serif" w:hAnsi="Liberation Serif" w:eastAsia="Liberation Serif"/>
          <w:i/>
          <w:color w:val="464646"/>
          <w:sz w:val="18"/>
        </w:rPr>
        <w:t xml:space="preserve">Evidence before claims. This document explains why BitFP exists and how the frozen architecture through M9/G9 works. It follows the compact technical progression of the Bitcoin whitepaper - transactions, time ordering, proof-of-work, network operation, incentives, verification, calculations, and conclusion - while addressing three problems that a new Layer 1 cannot solve by copying Bitcoin unchanged: durable direct mining participation on ordinary hardware, post-quantum-oriented ownership and proof security, and autonomous agent discovery/operation. The byte-level protocol specifications and canonical parameter objects remain normative where this explanatory document is schematic.</w:t>
      </w:r>
    </w:p>
    <w:bookmarkStart w:id="20" w:name="abstract"/>
    <w:p>
      <w:pPr>
        <w:pStyle w:val="Heading2"/>
      </w:pPr>
      <w:r>
        <w:t xml:space="preserve">Abstract</w:t>
      </w:r>
    </w:p>
    <w:p>
      <w:pPr>
        <w:pStyle w:val="FirstParagraph"/>
      </w:pPr>
      <w:r>
        <w:t xml:space="preserve">BitFP is a permissionless proof-of-work Layer 1 designed to preserve the durable parts of Bitcoin - proof-of-work, public validation, and UTXO ownership - while addressing three problems that matter for a new chain. First, ordinary computers should remain protocol-eligible to mine and to receive protocol-native partial-work rewards without being structurally forced into a pool merely to reduce payout variance. Second, a new ownership and proof stack should be designed around post-quantum security rather than legacy discrete-log assumptions. Third, autonomous software agents should be able to discover, identify, verify, and join the protocol without a human supplying trusted peer addresses, parameter files, or a privileged website.</w:t>
      </w:r>
    </w:p>
    <w:p>
      <w:pPr>
        <w:pStyle w:val="BodyText"/>
      </w:pPr>
      <w:r>
        <w:t xml:space="preserve">A mining attempt evaluates a frozen data-dependent function over a source-exact 16 MiB epoch dataset and private per-worker state. Block-winning work and partial-work receipts are determined by 512-bit targets. The expensive work execution is not repeated by every validator. Instead, a six-lane C1 proof package proves the transition, authenticates source-exact dataset reads, and cryptographically binds the transition to those authenticated values. Transaction ownership uses ML-DSA-44. The production proof profile uses SHA3-512, SHAKE256, an Fp8 challenge field, WHIR, BCS/Fiat-Shamir, Fp4 LogUp, and polynomial-commitment cross-openings under an explicit fixed-Keccak product-QRO assumption.</w:t>
      </w:r>
    </w:p>
    <w:p>
      <w:pPr>
        <w:pStyle w:val="BodyText"/>
      </w:pPr>
      <w:r>
        <w:t>The whitepaper gives formal dependency equations for the PoW, formulas for block and receipt acceptance probability, an abstract prove/verify relation, the LogUp rational identity used to explain authenticated lookups, the cross-opening consistency condition, Bitcoin-style reorganization probability calculations, exact rejection sampling for field challenges, and the composed post-quantum soundness calculation. It also explains the anti-specialization design of the PoW, why partial-work receipts reduce the structural need for pools, why BitFP deliberately does not terminate issuance at a finite hard cap, and how a perpetual but small tail issuance supports a long-run security budget. Agent Discovery is formalized as a verification flow: a website may help an agent find BitFP, but does not become a root of trust. This v0.5 revision also records two future reviews as planned work: a formal multi-layer Sybil Resistance Audit and an Optional Post-Quantum Privacy Architecture Review. Neither review has started, and the planned privacy architecture is not implemented or consensus-frozen.</w:t>
      </w:r>
    </w:p>
    <w:p>
      <w:pPr>
        <w:pStyle w:val="BodyText"/>
      </w:pPr>
      <w:r>
        <w:t xml:space="preserve">At publication, M6 through M9 have passed, PARAM-01/02/03 are frozen, mobile PoW feasibility has passed, Agent Discovery v1 is ready, and commodity full-node verification performance remains the PRE-M10 engineering gate.</w:t>
      </w:r>
    </w:p>
    <w:bookmarkEnd w:id="20"/>
    <w:bookmarkStart w:id="25" w:name="introduction"/>
    <w:p>
      <w:pPr>
        <w:pStyle w:val="Heading2"/>
      </w:pPr>
      <w:r>
        <w:t xml:space="preserve">1. Introduction</w:t>
      </w:r>
    </w:p>
    <w:p>
      <w:pPr>
        <w:pStyle w:val="FirstParagraph"/>
      </w:pPr>
      <w:r>
        <w:t xml:space="preserve">Bitcoin demonstrated that a peer-to-peer network can establish a canonical ownership history using proof-of-work and public validation without a central mint [1]. Its whitepaper progresses from transactions and time ordering to proof-of-work, network operation, incentives, light verification, calculations, and conclusion. BitFP intentionally follows that compact explanatory pattern while adding the machinery required by its own design goals.</w:t>
      </w:r>
    </w:p>
    <w:p>
      <w:pPr>
        <w:pStyle w:val="BodyText"/>
      </w:pPr>
      <w:r>
        <w:t xml:space="preserve">BitFP is not motivated by a token sale or by replacing Bitcoin for its own sake. It is motivated by three protocol problems that become important if proof-of-work is rebuilt for an era of specialized mining hardware, post-quantum cryptography, and autonomous agents.</w:t>
      </w:r>
    </w:p>
    <w:bookmarkStart w:id="21" w:name="Xf6e19e4a32c0c50bcc62a736ee9227eb23f9add"/>
    <w:p>
      <w:pPr>
        <w:pStyle w:val="Heading3"/>
      </w:pPr>
      <w:r>
        <w:t xml:space="preserve">1.1 Problem one: direct mining participation on ordinary hardware</w:t>
      </w:r>
    </w:p>
    <w:p>
      <w:pPr>
        <w:pStyle w:val="FirstParagraph"/>
      </w:pPr>
      <w:r>
        <w:t xml:space="preserve">Bitcoin’s proof-of-work turns each block into a winner-take-all hash-target race. A miner with only a tiny fraction of total work has a correspondingly tiny probability of winning a block, which creates very high payout variance. Pools solve that variance operationally, but they also introduce coordinators that receive work, construct candidate blocks, account shares, and distribute payouts.</w:t>
      </w:r>
    </w:p>
    <w:p>
      <w:pPr>
        <w:pStyle w:val="BodyText"/>
      </w:pPr>
      <w:r>
        <w:t xml:space="preserve">BitFP’s objective is different:</w:t>
      </w:r>
      <w:r>
        <w:t xml:space="preserve"> </w:t>
      </w:r>
      <w:r>
        <w:rPr>
          <w:b/>
          <w:bCs/>
        </w:rPr>
        <w:t xml:space="preserve">an ordinary computer that can still compute valid BitFP work should remain protocol-eligible to contribute directly and to receive protocol-native partial-work entitlement without being structurally forced to join a pool.</w:t>
      </w:r>
      <w:r>
        <w:t xml:space="preserve"> </w:t>
      </w:r>
      <w:r>
        <w:t xml:space="preserve">This is not a promise of equal profitability and not a theorem that specialized hardware can never be faster. It is a protocol design objective supported by two mechanisms:</w:t>
      </w:r>
    </w:p>
    <w:p>
      <w:pPr>
        <w:pStyle w:val="Compact"/>
        <w:numPr>
          <w:ilvl w:val="0"/>
          <w:numId w:val="1001"/>
        </w:numPr>
      </w:pPr>
      <w:r>
        <w:t xml:space="preserve">a data-dependent PoW with a source-exact epoch dataset, private per-worker scratchpad, irregular memory access, epoch rotation, and a 64-step serial tail; and</w:t>
      </w:r>
    </w:p>
    <w:p>
      <w:pPr>
        <w:pStyle w:val="Compact"/>
        <w:numPr>
          <w:ilvl w:val="0"/>
          <w:numId w:val="1001"/>
        </w:numPr>
      </w:pPr>
      <w:r>
        <w:t xml:space="preserve">partial-work receipts whose target is much easier than the block target, creating a direct protocol path for lower-rate miners to accumulate entitlement.</w:t>
      </w:r>
    </w:p>
    <w:p>
      <w:pPr>
        <w:pStyle w:val="FirstParagraph"/>
      </w:pPr>
      <w:r>
        <w:t xml:space="preserve">If a miner performs attempts at rate</w:t>
      </w:r>
      <w:r>
        <w:t xml:space="preserve"> </w:t>
      </w:r>
      <m:oMath>
        <m:sSub>
          <m:e>
            <m:r>
              <m:t>λ</m:t>
            </m:r>
          </m:e>
          <m:sub>
            <m:r>
              <m:t>i</m:t>
            </m:r>
          </m:sub>
        </m:sSub>
      </m:oMath>
      <w:r>
        <w:t xml:space="preserve">, with block success probability</w:t>
      </w:r>
      <w:r>
        <w:t xml:space="preserve"> </w:t>
      </w:r>
      <m:oMath>
        <m:sSub>
          <m:e>
            <m:r>
              <m:t>p</m:t>
            </m:r>
          </m:e>
          <m:sub>
            <m:r>
              <m:t>b</m:t>
            </m:r>
          </m:sub>
        </m:sSub>
      </m:oMath>
      <w:r>
        <w:t xml:space="preserve"> </w:t>
      </w:r>
      <w:r>
        <w:t xml:space="preserve">and receipt success probability</w:t>
      </w:r>
      <w:r>
        <w:t xml:space="preserve"> </w:t>
      </w:r>
      <m:oMath>
        <m:sSub>
          <m:e>
            <m:r>
              <m:t>p</m:t>
            </m:r>
          </m:e>
          <m:sub>
            <m:r>
              <m:t>r</m:t>
            </m:r>
          </m:sub>
        </m:sSub>
      </m:oMath>
      <w:r>
        <w:t xml:space="preserve">, then</w:t>
      </w:r>
    </w:p>
    <w:p>
      <w:pPr>
        <w:pStyle w:val="BodyText"/>
      </w:pPr>
      <m:oMathPara>
        <m:oMathParaPr>
          <m:jc m:val="center"/>
        </m:oMathParaPr>
        <m:oMath>
          <m:r>
            <m:t>E</m:t>
          </m:r>
          <m:d>
            <m:dPr>
              <m:begChr m:val="["/>
              <m:endChr m:val="]"/>
              <m:sepChr m:val=""/>
              <m:grow/>
            </m:dPr>
            <m:e>
              <m:r>
                <m:t>Δ</m:t>
              </m:r>
              <m:sSub>
                <m:e>
                  <m:r>
                    <m:t>t</m:t>
                  </m:r>
                </m:e>
                <m:sub>
                  <m:r>
                    <m:t>b</m:t>
                  </m:r>
                  <m:r>
                    <m:t>l</m:t>
                  </m:r>
                  <m:r>
                    <m:t>o</m:t>
                  </m:r>
                  <m:r>
                    <m:t>c</m:t>
                  </m:r>
                  <m:r>
                    <m:t>k</m:t>
                  </m:r>
                  <m:r>
                    <m:rPr>
                      <m:sty m:val="p"/>
                    </m:rPr>
                    <m:t>,</m:t>
                  </m:r>
                  <m:r>
                    <m:t>i</m:t>
                  </m:r>
                </m:sub>
              </m:sSub>
            </m:e>
          </m:d>
          <m:r>
            <m:rPr>
              <m:sty m:val="p"/>
            </m:rPr>
            <m:t>=</m:t>
          </m:r>
          <m:f>
            <m:fPr>
              <m:type m:val="bar"/>
            </m:fPr>
            <m:num>
              <m:r>
                <m:t>1</m:t>
              </m:r>
            </m:num>
            <m:den>
              <m:sSub>
                <m:e>
                  <m:r>
                    <m:t>λ</m:t>
                  </m:r>
                </m:e>
                <m:sub>
                  <m:r>
                    <m:t>i</m:t>
                  </m:r>
                </m:sub>
              </m:sSub>
              <m:sSub>
                <m:e>
                  <m:r>
                    <m:t>p</m:t>
                  </m:r>
                </m:e>
                <m:sub>
                  <m:r>
                    <m:t>b</m:t>
                  </m:r>
                </m:sub>
              </m:sSub>
            </m:den>
          </m:f>
          <m:r>
            <m:rPr>
              <m:sty m:val="p"/>
            </m:rPr>
            <m:t>,</m:t>
          </m:r>
          <m:r>
            <m:t>  </m:t>
          </m:r>
          <m:r>
            <m:t>E</m:t>
          </m:r>
          <m:d>
            <m:dPr>
              <m:begChr m:val="["/>
              <m:endChr m:val="]"/>
              <m:sepChr m:val=""/>
              <m:grow/>
            </m:dPr>
            <m:e>
              <m:r>
                <m:t>Δ</m:t>
              </m:r>
              <m:sSub>
                <m:e>
                  <m:r>
                    <m:t>t</m:t>
                  </m:r>
                </m:e>
                <m:sub>
                  <m:r>
                    <m:t>r</m:t>
                  </m:r>
                  <m:r>
                    <m:t>e</m:t>
                  </m:r>
                  <m:r>
                    <m:t>c</m:t>
                  </m:r>
                  <m:r>
                    <m:t>e</m:t>
                  </m:r>
                  <m:r>
                    <m:t>i</m:t>
                  </m:r>
                  <m:r>
                    <m:t>p</m:t>
                  </m:r>
                  <m:r>
                    <m:t>t</m:t>
                  </m:r>
                  <m:r>
                    <m:rPr>
                      <m:sty m:val="p"/>
                    </m:rPr>
                    <m:t>,</m:t>
                  </m:r>
                  <m:r>
                    <m:t>i</m:t>
                  </m:r>
                </m:sub>
              </m:sSub>
            </m:e>
          </m:d>
          <m:r>
            <m:rPr>
              <m:sty m:val="p"/>
            </m:rPr>
            <m:t>=</m:t>
          </m:r>
          <m:f>
            <m:fPr>
              <m:type m:val="bar"/>
            </m:fPr>
            <m:num>
              <m:r>
                <m:t>1</m:t>
              </m:r>
            </m:num>
            <m:den>
              <m:sSub>
                <m:e>
                  <m:r>
                    <m:t>λ</m:t>
                  </m:r>
                </m:e>
                <m:sub>
                  <m:r>
                    <m:t>i</m:t>
                  </m:r>
                </m:sub>
              </m:sSub>
              <m:sSub>
                <m:e>
                  <m:r>
                    <m:t>p</m:t>
                  </m:r>
                </m:e>
                <m:sub>
                  <m:r>
                    <m:t>r</m:t>
                  </m:r>
                </m:sub>
              </m:sSub>
            </m:den>
          </m:f>
          <m:r>
            <m:rPr>
              <m:sty m:val="p"/>
            </m:rPr>
            <m:t>.</m:t>
          </m:r>
        </m:oMath>
      </m:oMathPara>
    </w:p>
    <w:p>
      <w:pPr>
        <w:pStyle w:val="FirstParagraph"/>
      </w:pPr>
      <w:r>
        <w:t xml:space="preserve">In the normal unsaturated coupled-target regime,</w:t>
      </w:r>
    </w:p>
    <w:p>
      <w:pPr>
        <w:pStyle w:val="BodyText"/>
      </w:pPr>
      <m:oMathPara>
        <m:oMathParaPr>
          <m:jc m:val="center"/>
        </m:oMathParaPr>
        <m:oMath>
          <m:sSub>
            <m:e>
              <m:r>
                <m:t>p</m:t>
              </m:r>
            </m:e>
            <m:sub>
              <m:r>
                <m:t>r</m:t>
              </m:r>
            </m:sub>
          </m:sSub>
          <m:r>
            <m:rPr>
              <m:sty m:val="p"/>
            </m:rPr>
            <m:t>≈</m:t>
          </m:r>
          <m:r>
            <m:t>38</m:t>
          </m:r>
          <m:r>
            <m:rPr>
              <m:sty m:val="p"/>
            </m:rPr>
            <m:t>,</m:t>
          </m:r>
          <m:r>
            <m:t>400</m:t>
          </m:r>
          <m:r>
            <m:t> </m:t>
          </m:r>
          <m:sSub>
            <m:e>
              <m:r>
                <m:t>p</m:t>
              </m:r>
            </m:e>
            <m:sub>
              <m:r>
                <m:t>b</m:t>
              </m:r>
            </m:sub>
          </m:sSub>
          <m:r>
            <m:rPr>
              <m:sty m:val="p"/>
            </m:rPr>
            <m:t>,</m:t>
          </m:r>
        </m:oMath>
      </m:oMathPara>
    </w:p>
    <w:p>
      <w:pPr>
        <w:pStyle w:val="FirstParagraph"/>
      </w:pPr>
      <w:r>
        <w:t xml:space="preserve">so</w:t>
      </w:r>
    </w:p>
    <w:p>
      <w:pPr>
        <w:pStyle w:val="BodyText"/>
      </w:pPr>
      <m:oMathPara>
        <m:oMathParaPr>
          <m:jc m:val="center"/>
        </m:oMathParaPr>
        <m:oMath>
          <m:r>
            <m:t>E</m:t>
          </m:r>
          <m:d>
            <m:dPr>
              <m:begChr m:val="["/>
              <m:endChr m:val="]"/>
              <m:sepChr m:val=""/>
              <m:grow/>
            </m:dPr>
            <m:e>
              <m:r>
                <m:t>Δ</m:t>
              </m:r>
              <m:sSub>
                <m:e>
                  <m:r>
                    <m:t>t</m:t>
                  </m:r>
                </m:e>
                <m:sub>
                  <m:r>
                    <m:t>r</m:t>
                  </m:r>
                  <m:r>
                    <m:t>e</m:t>
                  </m:r>
                  <m:r>
                    <m:t>c</m:t>
                  </m:r>
                  <m:r>
                    <m:t>e</m:t>
                  </m:r>
                  <m:r>
                    <m:t>i</m:t>
                  </m:r>
                  <m:r>
                    <m:t>p</m:t>
                  </m:r>
                  <m:r>
                    <m:t>t</m:t>
                  </m:r>
                  <m:r>
                    <m:rPr>
                      <m:sty m:val="p"/>
                    </m:rPr>
                    <m:t>,</m:t>
                  </m:r>
                  <m:r>
                    <m:t>i</m:t>
                  </m:r>
                </m:sub>
              </m:sSub>
            </m:e>
          </m:d>
          <m:r>
            <m:rPr>
              <m:sty m:val="p"/>
            </m:rPr>
            <m:t>≈</m:t>
          </m:r>
          <m:f>
            <m:fPr>
              <m:type m:val="bar"/>
            </m:fPr>
            <m:num>
              <m:r>
                <m:t>E</m:t>
              </m:r>
              <m:d>
                <m:dPr>
                  <m:begChr m:val="["/>
                  <m:endChr m:val="]"/>
                  <m:sepChr m:val=""/>
                  <m:grow/>
                </m:dPr>
                <m:e>
                  <m:r>
                    <m:t>Δ</m:t>
                  </m:r>
                  <m:sSub>
                    <m:e>
                      <m:r>
                        <m:t>t</m:t>
                      </m:r>
                    </m:e>
                    <m:sub>
                      <m:r>
                        <m:t>b</m:t>
                      </m:r>
                      <m:r>
                        <m:t>l</m:t>
                      </m:r>
                      <m:r>
                        <m:t>o</m:t>
                      </m:r>
                      <m:r>
                        <m:t>c</m:t>
                      </m:r>
                      <m:r>
                        <m:t>k</m:t>
                      </m:r>
                      <m:r>
                        <m:rPr>
                          <m:sty m:val="p"/>
                        </m:rPr>
                        <m:t>,</m:t>
                      </m:r>
                      <m:r>
                        <m:t>i</m:t>
                      </m:r>
                    </m:sub>
                  </m:sSub>
                </m:e>
              </m:d>
            </m:num>
            <m:den>
              <m:r>
                <m:t>38</m:t>
              </m:r>
              <m:r>
                <m:rPr>
                  <m:sty m:val="p"/>
                </m:rPr>
                <m:t>,</m:t>
              </m:r>
              <m:r>
                <m:t>400</m:t>
              </m:r>
            </m:den>
          </m:f>
          <m:r>
            <m:rPr>
              <m:sty m:val="p"/>
            </m:rPr>
            <m:t>.</m:t>
          </m:r>
        </m:oMath>
      </m:oMathPara>
    </w:p>
    <w:p>
      <w:pPr>
        <w:pStyle w:val="FirstParagraph"/>
      </w:pPr>
      <w:r>
        <w:t xml:space="preserve">The point is not that every CPU earns the same amount; expected share still falls as total network work grows. The point is that the protocol itself recognizes useful partial work, so pool membership is a voluntary optimization rather than the only practical route to frequent protocol rewards.</w:t>
      </w:r>
    </w:p>
    <w:bookmarkEnd w:id="21"/>
    <w:bookmarkStart w:id="22" w:name="Xf1898c31a02e396e1309414741d620fca57e40e"/>
    <w:p>
      <w:pPr>
        <w:pStyle w:val="Heading3"/>
      </w:pPr>
      <w:r>
        <w:t xml:space="preserve">1.2 Problem two: post-quantum-oriented ownership and proof security</w:t>
      </w:r>
    </w:p>
    <w:p>
      <w:pPr>
        <w:pStyle w:val="FirstParagraph"/>
      </w:pPr>
      <w:r>
        <w:t xml:space="preserve">A new chain should not make classical discrete-log signatures its permanent ownership foundation. BitFP separates post-quantum security into two layers. Transaction ownership uses ML-DSA-44 authorization. The C1 proof system uses a separately frozen fixed-Keccak/QROM security profile with SHA3-512, SHAKE256, Fp8 challenges, WHIR, BCS/Fiat-Shamir, LogUp, and PCS cross-openings. The composed proof-security screen is 146.521069… bits under the explicit M8 fixed-Keccak product-QRO assumption. These are separate claims: transaction-signature security is not equated with proof-system soundness.</w:t>
      </w:r>
    </w:p>
    <w:bookmarkEnd w:id="22"/>
    <w:bookmarkStart w:id="23" w:name="X828b6682112aa5a6cc1ae77c31a437cb46363a4"/>
    <w:p>
      <w:pPr>
        <w:pStyle w:val="Heading3"/>
      </w:pPr>
      <w:r>
        <w:t xml:space="preserve">1.3 Problem three: a chain that autonomous agents can discover and verify</w:t>
      </w:r>
    </w:p>
    <w:p>
      <w:pPr>
        <w:pStyle w:val="FirstParagraph"/>
      </w:pPr>
      <w:r>
        <w:t xml:space="preserve">Bitcoin was designed for human-operated software in a world before autonomous agents became ordinary economic actors. BitFP treats machine discovery as protocol infrastructure. A fresh agent should be able to find candidate manifests, corroborate independent sources, verify signatures and release roots, verify PARAM-01/02/03 and relation/compiler identities, discover peers, negotiate capabilities, synchronize, and verify blocks without a human supplying a trusted peer IP or telling it which website is authoritative.</w:t>
      </w:r>
    </w:p>
    <w:p>
      <w:pPr>
        <w:pStyle w:val="BodyText"/>
      </w:pPr>
      <w:r>
        <w:t xml:space="preserve">This is why</w:t>
      </w:r>
      <w:r>
        <w:t xml:space="preserve"> </w:t>
      </w:r>
      <w:r>
        <w:rPr>
          <w:rStyle w:val="VerbatimChar"/>
        </w:rPr>
        <w:t xml:space="preserve">bitfp.org</w:t>
      </w:r>
      <w:r>
        <w:t xml:space="preserve"> </w:t>
      </w:r>
      <w:r>
        <w:t xml:space="preserve">deliberately declares itself a</w:t>
      </w:r>
      <w:r>
        <w:t xml:space="preserve"> </w:t>
      </w:r>
      <w:r>
        <w:rPr>
          <w:b/>
          <w:bCs/>
        </w:rPr>
        <w:t xml:space="preserve">discovery surface, not a root of trust</w:t>
      </w:r>
      <w:r>
        <w:t xml:space="preserve">. The same principle applies to releases, bootstrap sources, and peer discovery.</w:t>
      </w:r>
    </w:p>
    <w:bookmarkEnd w:id="23"/>
    <w:bookmarkStart w:id="24" w:name="X8090ae9b365909d89ae5f92672f22d799867284"/>
    <w:p>
      <w:pPr>
        <w:pStyle w:val="Heading3"/>
      </w:pPr>
      <w:r>
        <w:t xml:space="preserve">1.4 Expensive proving must not become privileged validation</w:t>
      </w:r>
    </w:p>
    <w:p>
      <w:pPr>
        <w:pStyle w:val="FirstParagraph"/>
      </w:pPr>
      <w:r>
        <w:t xml:space="preserve">BitFP adds a fourth implementation principle that supports the three problems above: a miner may perform expensive work, but an ordinary full validator should verify that work rather than reproduce it. C1 separates proving cost from validation cost, preserving the rule that mining is orthogonal to validation authority.</w:t>
      </w:r>
    </w:p>
    <w:p>
      <w:pPr>
        <w:pStyle w:val="BodyText"/>
      </w:pPr>
      <w:r>
        <w:t xml:space="preserve">BitFP therefore combines:</w:t>
      </w:r>
    </w:p>
    <w:p>
      <w:pPr>
        <w:pStyle w:val="Compact"/>
        <w:numPr>
          <w:ilvl w:val="0"/>
          <w:numId w:val="1002"/>
        </w:numPr>
      </w:pPr>
      <w:r>
        <w:t xml:space="preserve">UTXO state and typed authorization;</w:t>
      </w:r>
    </w:p>
    <w:p>
      <w:pPr>
        <w:pStyle w:val="Compact"/>
        <w:numPr>
          <w:ilvl w:val="0"/>
          <w:numId w:val="1002"/>
        </w:numPr>
      </w:pPr>
      <w:r>
        <w:t xml:space="preserve">source-exact, data-dependent PoW;</w:t>
      </w:r>
    </w:p>
    <w:p>
      <w:pPr>
        <w:pStyle w:val="Compact"/>
        <w:numPr>
          <w:ilvl w:val="0"/>
          <w:numId w:val="1002"/>
        </w:numPr>
      </w:pPr>
      <w:r>
        <w:t xml:space="preserve">protocol-native partial-work receipts;</w:t>
      </w:r>
    </w:p>
    <w:p>
      <w:pPr>
        <w:pStyle w:val="Compact"/>
        <w:numPr>
          <w:ilvl w:val="0"/>
          <w:numId w:val="1002"/>
        </w:numPr>
      </w:pPr>
      <w:r>
        <w:t xml:space="preserve">succinct proof of PoW execution;</w:t>
      </w:r>
    </w:p>
    <w:p>
      <w:pPr>
        <w:pStyle w:val="Compact"/>
        <w:numPr>
          <w:ilvl w:val="0"/>
          <w:numId w:val="1002"/>
        </w:numPr>
      </w:pPr>
      <w:r>
        <w:t xml:space="preserve">post-quantum transaction authorization;</w:t>
      </w:r>
    </w:p>
    <w:p>
      <w:pPr>
        <w:pStyle w:val="Compact"/>
        <w:numPr>
          <w:ilvl w:val="0"/>
          <w:numId w:val="1002"/>
        </w:numPr>
      </w:pPr>
      <w:r>
        <w:t xml:space="preserve">concrete QROM/fixed-hash proof-security accounting;</w:t>
      </w:r>
    </w:p>
    <w:p>
      <w:pPr>
        <w:pStyle w:val="Compact"/>
        <w:numPr>
          <w:ilvl w:val="0"/>
          <w:numId w:val="1002"/>
        </w:numPr>
      </w:pPr>
      <w:r>
        <w:t xml:space="preserve">four permissionless node roles with mining as an orthogonal capability;</w:t>
      </w:r>
    </w:p>
    <w:p>
      <w:pPr>
        <w:pStyle w:val="Compact"/>
        <w:numPr>
          <w:ilvl w:val="0"/>
          <w:numId w:val="1002"/>
        </w:numPr>
      </w:pPr>
      <w:r>
        <w:t xml:space="preserve">machine-readable Agent Discovery with independent corroboration.</w:t>
      </w:r>
    </w:p>
    <w:p>
      <w:pPr>
        <w:pStyle w:val="FirstParagraph"/>
      </w:pPr>
      <w:r>
        <w:t xml:space="preserve">BitFP has no token sale, presale, or fundraising gate in its protocol roadmap. Milestones advance when evidence gates pass.</w:t>
      </w:r>
    </w:p>
    <w:bookmarkEnd w:id="24"/>
    <w:bookmarkEnd w:id="25"/>
    <w:bookmarkStart w:id="31" w:name="transactions"/>
    <w:p>
      <w:pPr>
        <w:pStyle w:val="Heading2"/>
      </w:pPr>
      <w:r>
        <w:t xml:space="preserve">2. Transactions</w:t>
      </w:r>
    </w:p>
    <w:p>
      <w:pPr>
        <w:pStyle w:val="FirstParagraph"/>
      </w:pPr>
      <w:r>
        <w:t xml:space="preserve">A BitFP transaction consumes existing UTXOs and creates new UTXOs. Let</w:t>
      </w:r>
    </w:p>
    <w:p>
      <w:pPr>
        <w:pStyle w:val="BodyText"/>
      </w:pPr>
      <m:oMathPara>
        <m:oMathParaPr>
          <m:jc m:val="center"/>
        </m:oMathParaPr>
        <m:oMath>
          <m:r>
            <m:rPr>
              <m:sty m:val="p"/>
            </m:rPr>
            <m:t>t</m:t>
          </m:r>
          <m:r>
            <m:rPr>
              <m:sty m:val="p"/>
            </m:rPr>
            <m:t>x</m:t>
          </m:r>
          <m:r>
            <m:rPr>
              <m:sty m:val="p"/>
            </m:rPr>
            <m:t>=</m:t>
          </m:r>
          <m:d>
            <m:dPr>
              <m:begChr m:val="("/>
              <m:endChr m:val=")"/>
              <m:sepChr m:val=""/>
              <m:grow/>
            </m:dPr>
            <m:e>
              <m:r>
                <m:t>V</m:t>
              </m:r>
              <m:r>
                <m:rPr>
                  <m:sty m:val="p"/>
                </m:rPr>
                <m:t>,</m:t>
              </m:r>
              <m:r>
                <m:t>I</m:t>
              </m:r>
              <m:r>
                <m:rPr>
                  <m:sty m:val="p"/>
                </m:rPr>
                <m:t>,</m:t>
              </m:r>
              <m:r>
                <m:t>O</m:t>
              </m:r>
              <m:r>
                <m:rPr>
                  <m:sty m:val="p"/>
                </m:rPr>
                <m:t>,</m:t>
              </m:r>
              <m:r>
                <m:t>A</m:t>
              </m:r>
            </m:e>
          </m:d>
          <m:r>
            <m:rPr>
              <m:sty m:val="p"/>
            </m:rPr>
            <m:t>,</m:t>
          </m:r>
        </m:oMath>
      </m:oMathPara>
    </w:p>
    <w:p>
      <w:pPr>
        <w:pStyle w:val="FirstParagraph"/>
      </w:pPr>
      <w:r>
        <w:t xml:space="preserve">where</w:t>
      </w:r>
      <w:r>
        <w:t xml:space="preserve"> </w:t>
      </w:r>
      <m:oMath>
        <m:r>
          <m:t>V</m:t>
        </m:r>
      </m:oMath>
      <w:r>
        <w:t xml:space="preserve"> </w:t>
      </w:r>
      <w:r>
        <w:t xml:space="preserve">is the transaction/version context,</w:t>
      </w:r>
      <w:r>
        <w:t xml:space="preserve"> </w:t>
      </w:r>
      <m:oMath>
        <m:r>
          <m:t>I</m:t>
        </m:r>
        <m:r>
          <m:rPr>
            <m:sty m:val="p"/>
          </m:rPr>
          <m:t>=</m:t>
        </m:r>
        <m:d>
          <m:dPr>
            <m:begChr m:val="("/>
            <m:endChr m:val=")"/>
            <m:sepChr m:val=""/>
            <m:grow/>
          </m:dPr>
          <m:e>
            <m:sSub>
              <m:e>
                <m:r>
                  <m:t>i</m:t>
                </m:r>
              </m:e>
              <m:sub>
                <m:r>
                  <m:t>1</m:t>
                </m:r>
              </m:sub>
            </m:sSub>
            <m:r>
              <m:rPr>
                <m:sty m:val="p"/>
              </m:rPr>
              <m:t>,</m:t>
            </m:r>
            <m:r>
              <m:rPr>
                <m:sty m:val="p"/>
              </m:rPr>
              <m:t>…</m:t>
            </m:r>
            <m:r>
              <m:rPr>
                <m:sty m:val="p"/>
              </m:rPr>
              <m:t>,</m:t>
            </m:r>
            <m:sSub>
              <m:e>
                <m:r>
                  <m:t>i</m:t>
                </m:r>
              </m:e>
              <m:sub>
                <m:r>
                  <m:t>m</m:t>
                </m:r>
              </m:sub>
            </m:sSub>
          </m:e>
        </m:d>
      </m:oMath>
      <w:r>
        <w:t xml:space="preserve"> </w:t>
      </w:r>
      <w:r>
        <w:t xml:space="preserve">is the ordered input set,</w:t>
      </w:r>
      <w:r>
        <w:t xml:space="preserve"> </w:t>
      </w:r>
      <m:oMath>
        <m:r>
          <m:t>O</m:t>
        </m:r>
        <m:r>
          <m:rPr>
            <m:sty m:val="p"/>
          </m:rPr>
          <m:t>=</m:t>
        </m:r>
        <m:d>
          <m:dPr>
            <m:begChr m:val="("/>
            <m:endChr m:val=")"/>
            <m:sepChr m:val=""/>
            <m:grow/>
          </m:dPr>
          <m:e>
            <m:sSub>
              <m:e>
                <m:r>
                  <m:t>o</m:t>
                </m:r>
              </m:e>
              <m:sub>
                <m:r>
                  <m:t>1</m:t>
                </m:r>
              </m:sub>
            </m:sSub>
            <m:r>
              <m:rPr>
                <m:sty m:val="p"/>
              </m:rPr>
              <m:t>,</m:t>
            </m:r>
            <m:r>
              <m:rPr>
                <m:sty m:val="p"/>
              </m:rPr>
              <m:t>…</m:t>
            </m:r>
            <m:r>
              <m:rPr>
                <m:sty m:val="p"/>
              </m:rPr>
              <m:t>,</m:t>
            </m:r>
            <m:sSub>
              <m:e>
                <m:r>
                  <m:t>o</m:t>
                </m:r>
              </m:e>
              <m:sub>
                <m:r>
                  <m:t>n</m:t>
                </m:r>
              </m:sub>
            </m:sSub>
          </m:e>
        </m:d>
      </m:oMath>
      <w:r>
        <w:t xml:space="preserve"> </w:t>
      </w:r>
      <w:r>
        <w:t xml:space="preserve">is the ordered output set, and</w:t>
      </w:r>
      <w:r>
        <w:t xml:space="preserve"> </w:t>
      </w:r>
      <m:oMath>
        <m:r>
          <m:t>A</m:t>
        </m:r>
      </m:oMath>
      <w:r>
        <w:t xml:space="preserve"> </w:t>
      </w:r>
      <w:r>
        <w:t xml:space="preserve">is the ordered set of authorization groups.</w:t>
      </w:r>
    </w:p>
    <w:p>
      <w:pPr>
        <w:pStyle w:val="BodyText"/>
      </w:pPr>
      <w:r>
        <w:t xml:space="preserve">If the referenced input values are</w:t>
      </w:r>
      <w:r>
        <w:t xml:space="preserve"> </w:t>
      </w:r>
      <m:oMath>
        <m:sSub>
          <m:e>
            <m:r>
              <m:t>v</m:t>
            </m:r>
          </m:e>
          <m:sub>
            <m:r>
              <m:t>1</m:t>
            </m:r>
          </m:sub>
        </m:sSub>
        <m:r>
          <m:rPr>
            <m:sty m:val="p"/>
          </m:rPr>
          <m:t>,</m:t>
        </m:r>
        <m:r>
          <m:rPr>
            <m:sty m:val="p"/>
          </m:rPr>
          <m:t>…</m:t>
        </m:r>
        <m:r>
          <m:rPr>
            <m:sty m:val="p"/>
          </m:rPr>
          <m:t>,</m:t>
        </m:r>
        <m:sSub>
          <m:e>
            <m:r>
              <m:t>v</m:t>
            </m:r>
          </m:e>
          <m:sub>
            <m:r>
              <m:t>m</m:t>
            </m:r>
          </m:sub>
        </m:sSub>
      </m:oMath>
      <w:r>
        <w:t xml:space="preserve"> </w:t>
      </w:r>
      <w:r>
        <w:t xml:space="preserve">atoms and output values are</w:t>
      </w:r>
      <w:r>
        <w:t xml:space="preserve"> </w:t>
      </w:r>
      <m:oMath>
        <m:sSub>
          <m:e>
            <m:r>
              <m:t>u</m:t>
            </m:r>
          </m:e>
          <m:sub>
            <m:r>
              <m:t>1</m:t>
            </m:r>
          </m:sub>
        </m:sSub>
        <m:r>
          <m:rPr>
            <m:sty m:val="p"/>
          </m:rPr>
          <m:t>,</m:t>
        </m:r>
        <m:r>
          <m:rPr>
            <m:sty m:val="p"/>
          </m:rPr>
          <m:t>…</m:t>
        </m:r>
        <m:r>
          <m:rPr>
            <m:sty m:val="p"/>
          </m:rPr>
          <m:t>,</m:t>
        </m:r>
        <m:sSub>
          <m:e>
            <m:r>
              <m:t>u</m:t>
            </m:r>
          </m:e>
          <m:sub>
            <m:r>
              <m:t>n</m:t>
            </m:r>
          </m:sub>
        </m:sSub>
      </m:oMath>
      <w:r>
        <w:t xml:space="preserve"> </w:t>
      </w:r>
      <w:r>
        <w:t xml:space="preserve">atoms, the transaction fee is</w:t>
      </w:r>
    </w:p>
    <w:p>
      <w:pPr>
        <w:pStyle w:val="BodyText"/>
      </w:pPr>
      <m:oMathPara>
        <m:oMathParaPr>
          <m:jc m:val="center"/>
        </m:oMathParaPr>
        <m:oMath>
          <m:sSub>
            <m:e>
              <m:r>
                <m:t>F</m:t>
              </m:r>
            </m:e>
            <m:sub>
              <m:r>
                <m:rPr>
                  <m:sty m:val="p"/>
                </m:rPr>
                <m:t>t</m:t>
              </m:r>
              <m:r>
                <m:rPr>
                  <m:sty m:val="p"/>
                </m:rPr>
                <m:t>x</m:t>
              </m:r>
            </m:sub>
          </m:sSub>
          <m:r>
            <m:rPr>
              <m:sty m:val="p"/>
            </m:rPr>
            <m:t>=</m:t>
          </m:r>
          <m:nary>
            <m:naryPr>
              <m:chr m:val="∑"/>
              <m:limLoc m:val="undOvr"/>
              <m:subHide m:val="off"/>
              <m:supHide m:val="off"/>
            </m:naryPr>
            <m:sub>
              <m:r>
                <m:t>i</m:t>
              </m:r>
              <m:r>
                <m:rPr>
                  <m:sty m:val="p"/>
                </m:rPr>
                <m:t>=</m:t>
              </m:r>
              <m:r>
                <m:t>1</m:t>
              </m:r>
            </m:sub>
            <m:sup>
              <m:r>
                <m:t>m</m:t>
              </m:r>
            </m:sup>
            <m:e>
              <m:sSub>
                <m:e>
                  <m:r>
                    <m:t>v</m:t>
                  </m:r>
                </m:e>
                <m:sub>
                  <m:r>
                    <m:t>i</m:t>
                  </m:r>
                </m:sub>
              </m:sSub>
            </m:e>
          </m:nary>
          <m:r>
            <m:rPr>
              <m:sty m:val="p"/>
            </m:rPr>
            <m:t>−</m:t>
          </m:r>
          <m:nary>
            <m:naryPr>
              <m:chr m:val="∑"/>
              <m:limLoc m:val="undOvr"/>
              <m:subHide m:val="off"/>
              <m:supHide m:val="off"/>
            </m:naryPr>
            <m:sub>
              <m:r>
                <m:t>j</m:t>
              </m:r>
              <m:r>
                <m:rPr>
                  <m:sty m:val="p"/>
                </m:rPr>
                <m:t>=</m:t>
              </m:r>
              <m:r>
                <m:t>1</m:t>
              </m:r>
            </m:sub>
            <m:sup>
              <m:r>
                <m:t>n</m:t>
              </m:r>
            </m:sup>
            <m:e>
              <m:sSub>
                <m:e>
                  <m:r>
                    <m:t>u</m:t>
                  </m:r>
                </m:e>
                <m:sub>
                  <m:r>
                    <m:t>j</m:t>
                  </m:r>
                </m:sub>
              </m:sSub>
            </m:e>
          </m:nary>
          <m:r>
            <m:rPr>
              <m:sty m:val="p"/>
            </m:rPr>
            <m:t>,</m:t>
          </m:r>
        </m:oMath>
      </m:oMathPara>
    </w:p>
    <w:p>
      <w:pPr>
        <w:pStyle w:val="FirstParagraph"/>
      </w:pPr>
      <w:r>
        <w:t xml:space="preserve">subject to existence, non-double-spend, range, and authorization rules. Consensus permits</w:t>
      </w:r>
      <w:r>
        <w:t xml:space="preserve"> </w:t>
      </w:r>
      <m:oMath>
        <m:sSub>
          <m:e>
            <m:r>
              <m:t>F</m:t>
            </m:r>
          </m:e>
          <m:sub>
            <m:r>
              <m:rPr>
                <m:sty m:val="p"/>
              </m:rPr>
              <m:t>t</m:t>
            </m:r>
            <m:r>
              <m:rPr>
                <m:sty m:val="p"/>
              </m:rPr>
              <m:t>x</m:t>
            </m:r>
          </m:sub>
        </m:sSub>
        <m:r>
          <m:rPr>
            <m:sty m:val="p"/>
          </m:rPr>
          <m:t>=</m:t>
        </m:r>
        <m:r>
          <m:t>0</m:t>
        </m:r>
      </m:oMath>
      <w:r>
        <w:t xml:space="preserve">. Relay minimums and market fee rates are local policy, not a mandatory positive consensus fee.</w:t>
      </w:r>
    </w:p>
    <w:bookmarkStart w:id="26" w:name="ownership-and-authorization-groups"/>
    <w:p>
      <w:pPr>
        <w:pStyle w:val="Heading3"/>
      </w:pPr>
      <w:r>
        <w:t xml:space="preserve">2.1 Ownership and authorization groups</w:t>
      </w:r>
    </w:p>
    <w:p>
      <w:pPr>
        <w:pStyle w:val="FirstParagraph"/>
      </w:pPr>
      <w:r>
        <w:t xml:space="preserve">The ordinary owner identifier is a domain-separated commitment to the authorization scheme and canonical public key:</w:t>
      </w:r>
    </w:p>
    <w:p>
      <w:pPr>
        <w:pStyle w:val="BodyText"/>
      </w:pPr>
      <m:oMathPara>
        <m:oMathParaPr>
          <m:jc m:val="center"/>
        </m:oMathParaPr>
        <m:oMath>
          <m:r>
            <m:rPr>
              <m:sty m:val="p"/>
            </m:rPr>
            <m:t>o</m:t>
          </m:r>
          <m:r>
            <m:rPr>
              <m:sty m:val="p"/>
            </m:rPr>
            <m:t>w</m:t>
          </m:r>
          <m:r>
            <m:rPr>
              <m:sty m:val="p"/>
            </m:rPr>
            <m:t>n</m:t>
          </m:r>
          <m:r>
            <m:rPr>
              <m:sty m:val="p"/>
            </m:rPr>
            <m:t>e</m:t>
          </m:r>
          <m:r>
            <m:rPr>
              <m:sty m:val="p"/>
            </m:rPr>
            <m:t>r</m:t>
          </m:r>
          <m:r>
            <m:rPr>
              <m:sty m:val="p"/>
            </m:rPr>
            <m:t>_</m:t>
          </m:r>
          <m:r>
            <m:rPr>
              <m:sty m:val="p"/>
            </m:rPr>
            <m:t>i</m:t>
          </m:r>
          <m:r>
            <m:rPr>
              <m:sty m:val="p"/>
            </m:rPr>
            <m:t>d</m:t>
          </m:r>
          <m:r>
            <m:rPr>
              <m:sty m:val="p"/>
            </m:rPr>
            <m:t>=</m:t>
          </m:r>
          <m:r>
            <m:rPr>
              <m:sty m:val="p"/>
            </m:rPr>
            <m:t>S</m:t>
          </m:r>
          <m:r>
            <m:rPr>
              <m:sty m:val="p"/>
            </m:rPr>
            <m:t>H</m:t>
          </m:r>
          <m:r>
            <m:rPr>
              <m:sty m:val="p"/>
            </m:rPr>
            <m:t>A</m:t>
          </m:r>
          <m:r>
            <m:rPr>
              <m:sty m:val="p"/>
            </m:rPr>
            <m:t>3</m:t>
          </m:r>
          <m:r>
            <m:rPr>
              <m:nor/>
              <m:sty m:val="p"/>
            </m:rPr>
            <m:t>-</m:t>
          </m:r>
          <m:r>
            <m:rPr>
              <m:sty m:val="p"/>
            </m:rPr>
            <m:t>256</m:t>
          </m:r>
          <m:d>
            <m:dPr>
              <m:begChr m:val="("/>
              <m:endChr m:val=")"/>
              <m:sepChr m:val=""/>
              <m:grow/>
            </m:dPr>
            <m:e>
              <m:r>
                <m:rPr>
                  <m:nor/>
                  <m:sty m:val="p"/>
                  <m:scr m:val="monospace"/>
                </m:rPr>
                <m:t>"BitFP/owner/v1"</m:t>
              </m:r>
              <m:r>
                <m:rPr>
                  <m:sty m:val="p"/>
                </m:rPr>
                <m:t>∥</m:t>
              </m:r>
              <m:r>
                <m:rPr>
                  <m:sty m:val="p"/>
                </m:rPr>
                <m:t>s</m:t>
              </m:r>
              <m:r>
                <m:rPr>
                  <m:sty m:val="p"/>
                </m:rPr>
                <m:t>c</m:t>
              </m:r>
              <m:r>
                <m:rPr>
                  <m:sty m:val="p"/>
                </m:rPr>
                <m:t>h</m:t>
              </m:r>
              <m:r>
                <m:rPr>
                  <m:sty m:val="p"/>
                </m:rPr>
                <m:t>e</m:t>
              </m:r>
              <m:r>
                <m:rPr>
                  <m:sty m:val="p"/>
                </m:rPr>
                <m:t>m</m:t>
              </m:r>
              <m:r>
                <m:rPr>
                  <m:sty m:val="p"/>
                </m:rPr>
                <m:t>e</m:t>
              </m:r>
              <m:r>
                <m:rPr>
                  <m:sty m:val="p"/>
                </m:rPr>
                <m:t>_</m:t>
              </m:r>
              <m:r>
                <m:rPr>
                  <m:sty m:val="p"/>
                </m:rPr>
                <m:t>i</m:t>
              </m:r>
              <m:r>
                <m:rPr>
                  <m:sty m:val="p"/>
                </m:rPr>
                <m:t>d</m:t>
              </m:r>
              <m:r>
                <m:rPr>
                  <m:sty m:val="p"/>
                </m:rPr>
                <m:t>∥</m:t>
              </m:r>
              <m:r>
                <m:rPr>
                  <m:sty m:val="p"/>
                </m:rPr>
                <m:t>p</m:t>
              </m:r>
              <m:r>
                <m:rPr>
                  <m:sty m:val="p"/>
                </m:rPr>
                <m:t>k</m:t>
              </m:r>
            </m:e>
          </m:d>
          <m:r>
            <m:rPr>
              <m:sty m:val="p"/>
            </m:rPr>
            <m:t>.</m:t>
          </m:r>
        </m:oMath>
      </m:oMathPara>
    </w:p>
    <w:p>
      <w:pPr>
        <w:pStyle w:val="FirstParagraph"/>
      </w:pPr>
      <w:r>
        <w:t xml:space="preserve">Transaction v1 uses ML-DSA-44 under NIST FIPS 204 [3]. If several inputs have the same owner, one authorization group may authorize the exact input scope</w:t>
      </w:r>
      <w:r>
        <w:t xml:space="preserve"> </w:t>
      </w:r>
      <m:oMath>
        <m:r>
          <m:t>S</m:t>
        </m:r>
        <m:r>
          <m:rPr>
            <m:sty m:val="p"/>
          </m:rPr>
          <m:t>⊆</m:t>
        </m:r>
        <m:r>
          <m:rPr>
            <m:sty m:val="p"/>
          </m:rPr>
          <m:t>{</m:t>
        </m:r>
        <m:r>
          <m:t>1</m:t>
        </m:r>
        <m:r>
          <m:rPr>
            <m:sty m:val="p"/>
          </m:rPr>
          <m:t>,</m:t>
        </m:r>
        <m:r>
          <m:rPr>
            <m:sty m:val="p"/>
          </m:rPr>
          <m:t>…</m:t>
        </m:r>
        <m:r>
          <m:rPr>
            <m:sty m:val="p"/>
          </m:rPr>
          <m:t>,</m:t>
        </m:r>
        <m:r>
          <m:t>m</m:t>
        </m:r>
        <m:r>
          <m:rPr>
            <m:sty m:val="p"/>
          </m:rPr>
          <m:t>}</m:t>
        </m:r>
      </m:oMath>
      <w:r>
        <w:t xml:space="preserve"> </w:t>
      </w:r>
      <w:r>
        <w:t xml:space="preserve">with one canonical public key/signature pair. Schematically,</w:t>
      </w:r>
    </w:p>
    <w:p>
      <w:pPr>
        <w:pStyle w:val="BodyText"/>
      </w:pPr>
      <m:oMathPara>
        <m:oMathParaPr>
          <m:jc m:val="center"/>
        </m:oMathParaPr>
        <m:oMath>
          <m:r>
            <m:t>σ</m:t>
          </m:r>
          <m:r>
            <m:rPr>
              <m:sty m:val="p"/>
            </m:rPr>
            <m:t>=</m:t>
          </m:r>
          <m:sSub>
            <m:e>
              <m:r>
                <m:rPr>
                  <m:sty m:val="p"/>
                </m:rPr>
                <m:t>M</m:t>
              </m:r>
              <m:r>
                <m:rPr>
                  <m:sty m:val="p"/>
                </m:rPr>
                <m:t>L</m:t>
              </m:r>
              <m:r>
                <m:rPr>
                  <m:sty m:val="p"/>
                </m:rPr>
                <m:t>D</m:t>
              </m:r>
              <m:r>
                <m:rPr>
                  <m:sty m:val="p"/>
                </m:rPr>
                <m:t>S</m:t>
              </m:r>
              <m:r>
                <m:rPr>
                  <m:sty m:val="p"/>
                </m:rPr>
                <m:t>A</m:t>
              </m:r>
              <m:r>
                <m:rPr>
                  <m:sty m:val="p"/>
                </m:rPr>
                <m:t>.</m:t>
              </m:r>
              <m:r>
                <m:rPr>
                  <m:sty m:val="p"/>
                </m:rPr>
                <m:t>S</m:t>
              </m:r>
              <m:r>
                <m:rPr>
                  <m:sty m:val="p"/>
                </m:rPr>
                <m:t>i</m:t>
              </m:r>
              <m:r>
                <m:rPr>
                  <m:sty m:val="p"/>
                </m:rPr>
                <m:t>g</m:t>
              </m:r>
              <m:r>
                <m:rPr>
                  <m:sty m:val="p"/>
                </m:rPr>
                <m:t>n</m:t>
              </m:r>
            </m:e>
            <m:sub>
              <m:r>
                <m:t>s</m:t>
              </m:r>
              <m:r>
                <m:t>k</m:t>
              </m:r>
            </m:sub>
          </m:sSub>
          <m:d>
            <m:dPr>
              <m:begChr m:val="("/>
              <m:endChr m:val=")"/>
              <m:sepChr m:val=""/>
              <m:grow/>
            </m:dPr>
            <m:e>
              <m:sSub>
                <m:e>
                  <m:r>
                    <m:t>H</m:t>
                  </m:r>
                </m:e>
                <m:sub>
                  <m:r>
                    <m:rPr>
                      <m:sty m:val="p"/>
                    </m:rPr>
                    <m:t>s</m:t>
                  </m:r>
                  <m:r>
                    <m:rPr>
                      <m:sty m:val="p"/>
                    </m:rPr>
                    <m:t>i</m:t>
                  </m:r>
                  <m:r>
                    <m:rPr>
                      <m:sty m:val="p"/>
                    </m:rPr>
                    <m:t>g</m:t>
                  </m:r>
                  <m:r>
                    <m:rPr>
                      <m:sty m:val="p"/>
                    </m:rPr>
                    <m:t>n</m:t>
                  </m:r>
                </m:sub>
              </m:sSub>
              <m:d>
                <m:dPr>
                  <m:begChr m:val="("/>
                  <m:endChr m:val=")"/>
                  <m:sepChr m:val=""/>
                  <m:grow/>
                </m:dPr>
                <m:e>
                  <m:r>
                    <m:rPr>
                      <m:sty m:val="p"/>
                    </m:rPr>
                    <m:t>t</m:t>
                  </m:r>
                  <m:r>
                    <m:rPr>
                      <m:sty m:val="p"/>
                    </m:rPr>
                    <m:t>x</m:t>
                  </m:r>
                  <m:r>
                    <m:rPr>
                      <m:sty m:val="p"/>
                    </m:rPr>
                    <m:t>_</m:t>
                  </m:r>
                  <m:r>
                    <m:rPr>
                      <m:sty m:val="p"/>
                    </m:rPr>
                    <m:t>b</m:t>
                  </m:r>
                  <m:r>
                    <m:rPr>
                      <m:sty m:val="p"/>
                    </m:rPr>
                    <m:t>o</m:t>
                  </m:r>
                  <m:r>
                    <m:rPr>
                      <m:sty m:val="p"/>
                    </m:rPr>
                    <m:t>d</m:t>
                  </m:r>
                  <m:r>
                    <m:rPr>
                      <m:sty m:val="p"/>
                    </m:rPr>
                    <m:t>y</m:t>
                  </m:r>
                  <m:r>
                    <m:rPr>
                      <m:sty m:val="p"/>
                    </m:rPr>
                    <m:t>,</m:t>
                  </m:r>
                  <m:r>
                    <m:rPr>
                      <m:sty m:val="p"/>
                    </m:rPr>
                    <m:t>c</m:t>
                  </m:r>
                  <m:r>
                    <m:rPr>
                      <m:sty m:val="p"/>
                    </m:rPr>
                    <m:t>h</m:t>
                  </m:r>
                  <m:r>
                    <m:rPr>
                      <m:sty m:val="p"/>
                    </m:rPr>
                    <m:t>a</m:t>
                  </m:r>
                  <m:r>
                    <m:rPr>
                      <m:sty m:val="p"/>
                    </m:rPr>
                    <m:t>i</m:t>
                  </m:r>
                  <m:r>
                    <m:rPr>
                      <m:sty m:val="p"/>
                    </m:rPr>
                    <m:t>n</m:t>
                  </m:r>
                  <m:r>
                    <m:rPr>
                      <m:sty m:val="p"/>
                    </m:rPr>
                    <m:t>_</m:t>
                  </m:r>
                  <m:r>
                    <m:rPr>
                      <m:sty m:val="p"/>
                    </m:rPr>
                    <m:t>c</m:t>
                  </m:r>
                  <m:r>
                    <m:rPr>
                      <m:sty m:val="p"/>
                    </m:rPr>
                    <m:t>o</m:t>
                  </m:r>
                  <m:r>
                    <m:rPr>
                      <m:sty m:val="p"/>
                    </m:rPr>
                    <m:t>n</m:t>
                  </m:r>
                  <m:r>
                    <m:rPr>
                      <m:sty m:val="p"/>
                    </m:rPr>
                    <m:t>t</m:t>
                  </m:r>
                  <m:r>
                    <m:rPr>
                      <m:sty m:val="p"/>
                    </m:rPr>
                    <m:t>e</m:t>
                  </m:r>
                  <m:r>
                    <m:rPr>
                      <m:sty m:val="p"/>
                    </m:rPr>
                    <m:t>x</m:t>
                  </m:r>
                  <m:r>
                    <m:rPr>
                      <m:sty m:val="p"/>
                    </m:rPr>
                    <m:t>t</m:t>
                  </m:r>
                  <m:r>
                    <m:rPr>
                      <m:sty m:val="p"/>
                    </m:rPr>
                    <m:t>,</m:t>
                  </m:r>
                  <m:r>
                    <m:t>S</m:t>
                  </m:r>
                </m:e>
              </m:d>
            </m:e>
          </m:d>
          <m:r>
            <m:rPr>
              <m:sty m:val="p"/>
            </m:rPr>
            <m:t>,</m:t>
          </m:r>
        </m:oMath>
      </m:oMathPara>
    </w:p>
    <w:p>
      <w:pPr>
        <w:pStyle w:val="FirstParagraph"/>
      </w:pPr>
      <w:r>
        <w:t xml:space="preserve">and verification requires both</w:t>
      </w:r>
    </w:p>
    <w:p>
      <w:pPr>
        <w:pStyle w:val="BodyText"/>
      </w:pPr>
      <m:oMathPara>
        <m:oMathParaPr>
          <m:jc m:val="center"/>
        </m:oMathParaPr>
        <m:oMath>
          <m:r>
            <m:rPr>
              <m:sty m:val="p"/>
            </m:rPr>
            <m:t>C</m:t>
          </m:r>
          <m:r>
            <m:rPr>
              <m:sty m:val="p"/>
            </m:rPr>
            <m:t>o</m:t>
          </m:r>
          <m:r>
            <m:rPr>
              <m:sty m:val="p"/>
            </m:rPr>
            <m:t>m</m:t>
          </m:r>
          <m:r>
            <m:rPr>
              <m:sty m:val="p"/>
            </m:rPr>
            <m:t>m</m:t>
          </m:r>
          <m:r>
            <m:rPr>
              <m:sty m:val="p"/>
            </m:rPr>
            <m:t>i</m:t>
          </m:r>
          <m:r>
            <m:rPr>
              <m:sty m:val="p"/>
            </m:rPr>
            <m:t>t</m:t>
          </m:r>
          <m:d>
            <m:dPr>
              <m:begChr m:val="("/>
              <m:endChr m:val=")"/>
              <m:sepChr m:val=""/>
              <m:grow/>
            </m:dPr>
            <m:e>
              <m:r>
                <m:t>p</m:t>
              </m:r>
              <m:r>
                <m:t>k</m:t>
              </m:r>
            </m:e>
          </m:d>
          <m:r>
            <m:rPr>
              <m:sty m:val="p"/>
            </m:rPr>
            <m:t>=</m:t>
          </m:r>
          <m:r>
            <m:rPr>
              <m:sty m:val="p"/>
            </m:rPr>
            <m:t>o</m:t>
          </m:r>
          <m:r>
            <m:rPr>
              <m:sty m:val="p"/>
            </m:rPr>
            <m:t>w</m:t>
          </m:r>
          <m:r>
            <m:rPr>
              <m:sty m:val="p"/>
            </m:rPr>
            <m:t>n</m:t>
          </m:r>
          <m:r>
            <m:rPr>
              <m:sty m:val="p"/>
            </m:rPr>
            <m:t>e</m:t>
          </m:r>
          <m:r>
            <m:rPr>
              <m:sty m:val="p"/>
            </m:rPr>
            <m:t>r</m:t>
          </m:r>
          <m:r>
            <m:rPr>
              <m:sty m:val="p"/>
            </m:rPr>
            <m:t>_</m:t>
          </m:r>
          <m:r>
            <m:rPr>
              <m:sty m:val="p"/>
            </m:rPr>
            <m:t>i</m:t>
          </m:r>
          <m:r>
            <m:rPr>
              <m:sty m:val="p"/>
            </m:rPr>
            <m:t>d</m:t>
          </m:r>
          <m:d>
            <m:dPr>
              <m:begChr m:val="("/>
              <m:endChr m:val=")"/>
              <m:sepChr m:val=""/>
              <m:grow/>
            </m:dPr>
            <m:e>
              <m:sSub>
                <m:e>
                  <m:r>
                    <m:t>i</m:t>
                  </m:r>
                </m:e>
                <m:sub>
                  <m:r>
                    <m:t>k</m:t>
                  </m:r>
                </m:sub>
              </m:sSub>
            </m:e>
          </m:d>
          <m:r>
            <m:t> </m:t>
          </m:r>
          <m:r>
            <m:rPr>
              <m:sty m:val="p"/>
            </m:rPr>
            <m:t>∀</m:t>
          </m:r>
          <m:r>
            <m:t>k</m:t>
          </m:r>
          <m:r>
            <m:rPr>
              <m:sty m:val="p"/>
            </m:rPr>
            <m:t>∈</m:t>
          </m:r>
          <m:r>
            <m:t>S</m:t>
          </m:r>
        </m:oMath>
      </m:oMathPara>
    </w:p>
    <w:p>
      <w:pPr>
        <w:pStyle w:val="FirstParagraph"/>
      </w:pPr>
      <w:r>
        <w:t xml:space="preserve">and</w:t>
      </w:r>
    </w:p>
    <w:p>
      <w:pPr>
        <w:pStyle w:val="BodyText"/>
      </w:pPr>
      <m:oMathPara>
        <m:oMathParaPr>
          <m:jc m:val="center"/>
        </m:oMathParaPr>
        <m:oMath>
          <m:sSub>
            <m:e>
              <m:r>
                <m:rPr>
                  <m:sty m:val="p"/>
                </m:rPr>
                <m:t>M</m:t>
              </m:r>
              <m:r>
                <m:rPr>
                  <m:sty m:val="p"/>
                </m:rPr>
                <m:t>L</m:t>
              </m:r>
              <m:r>
                <m:rPr>
                  <m:sty m:val="p"/>
                </m:rPr>
                <m:t>D</m:t>
              </m:r>
              <m:r>
                <m:rPr>
                  <m:sty m:val="p"/>
                </m:rPr>
                <m:t>S</m:t>
              </m:r>
              <m:r>
                <m:rPr>
                  <m:sty m:val="p"/>
                </m:rPr>
                <m:t>A</m:t>
              </m:r>
              <m:r>
                <m:rPr>
                  <m:sty m:val="p"/>
                </m:rPr>
                <m:t>.</m:t>
              </m:r>
              <m:r>
                <m:rPr>
                  <m:sty m:val="p"/>
                </m:rPr>
                <m:t>V</m:t>
              </m:r>
              <m:r>
                <m:rPr>
                  <m:sty m:val="p"/>
                </m:rPr>
                <m:t>e</m:t>
              </m:r>
              <m:r>
                <m:rPr>
                  <m:sty m:val="p"/>
                </m:rPr>
                <m:t>r</m:t>
              </m:r>
              <m:r>
                <m:rPr>
                  <m:sty m:val="p"/>
                </m:rPr>
                <m:t>i</m:t>
              </m:r>
              <m:r>
                <m:rPr>
                  <m:sty m:val="p"/>
                </m:rPr>
                <m:t>f</m:t>
              </m:r>
              <m:r>
                <m:rPr>
                  <m:sty m:val="p"/>
                </m:rPr>
                <m:t>y</m:t>
              </m:r>
            </m:e>
            <m:sub>
              <m:r>
                <m:t>p</m:t>
              </m:r>
              <m:r>
                <m:t>k</m:t>
              </m:r>
            </m:sub>
          </m:sSub>
          <m:d>
            <m:dPr>
              <m:begChr m:val="("/>
              <m:endChr m:val=")"/>
              <m:sepChr m:val=""/>
              <m:grow/>
            </m:dPr>
            <m:e>
              <m:r>
                <m:t>m</m:t>
              </m:r>
              <m:r>
                <m:rPr>
                  <m:sty m:val="p"/>
                </m:rPr>
                <m:t>,</m:t>
              </m:r>
              <m:r>
                <m:t>σ</m:t>
              </m:r>
            </m:e>
          </m:d>
          <m:r>
            <m:rPr>
              <m:sty m:val="p"/>
            </m:rPr>
            <m:t>=</m:t>
          </m:r>
          <m:r>
            <m:t>1</m:t>
          </m:r>
          <m:r>
            <m:rPr>
              <m:sty m:val="p"/>
            </m:rPr>
            <m:t>.</m:t>
          </m:r>
        </m:oMath>
      </m:oMathPara>
    </w:p>
    <w:bookmarkEnd w:id="26"/>
    <w:bookmarkStart w:id="30" w:name="deterministic-resource-weight"/>
    <w:p>
      <w:pPr>
        <w:pStyle w:val="Heading3"/>
      </w:pPr>
      <w:r>
        <w:t xml:space="preserve">2.2 Deterministic resource weight</w:t>
      </w:r>
    </w:p>
    <w:p>
      <w:pPr>
        <w:pStyle w:val="FirstParagraph"/>
      </w:pPr>
      <w:r>
        <w:t xml:space="preserve">BitFP does not price a transaction by bytes alone. The frozen resource weight is</w:t>
      </w:r>
    </w:p>
    <w:p>
      <w:pPr>
        <w:pStyle w:val="BodyText"/>
      </w:pPr>
      <m:oMathPara>
        <m:oMathParaPr>
          <m:jc m:val="center"/>
        </m:oMathParaPr>
        <m:oMath>
          <m:sSub>
            <m:e>
              <m:r>
                <m:t>W</m:t>
              </m:r>
            </m:e>
            <m:sub>
              <m:r>
                <m:rPr>
                  <m:sty m:val="p"/>
                </m:rPr>
                <m:t>t</m:t>
              </m:r>
              <m:r>
                <m:rPr>
                  <m:sty m:val="p"/>
                </m:rPr>
                <m:t>x</m:t>
              </m:r>
            </m:sub>
          </m:sSub>
          <m:r>
            <m:rPr>
              <m:sty m:val="p"/>
            </m:rPr>
            <m:t>=</m:t>
          </m:r>
          <m:r>
            <m:t>21</m:t>
          </m:r>
          <m:sSub>
            <m:e>
              <m:r>
                <m:t>B</m:t>
              </m:r>
            </m:e>
            <m:sub>
              <m:r>
                <m:rPr>
                  <m:sty m:val="p"/>
                </m:rPr>
                <m:t>b</m:t>
              </m:r>
              <m:r>
                <m:rPr>
                  <m:sty m:val="p"/>
                </m:rPr>
                <m:t>o</m:t>
              </m:r>
              <m:r>
                <m:rPr>
                  <m:sty m:val="p"/>
                </m:rPr>
                <m:t>d</m:t>
              </m:r>
              <m:r>
                <m:rPr>
                  <m:sty m:val="p"/>
                </m:rPr>
                <m:t>y</m:t>
              </m:r>
            </m:sub>
          </m:sSub>
          <m:r>
            <m:rPr>
              <m:sty m:val="p"/>
            </m:rPr>
            <m:t>+</m:t>
          </m:r>
          <m:r>
            <m:t>5</m:t>
          </m:r>
          <m:sSub>
            <m:e>
              <m:r>
                <m:t>B</m:t>
              </m:r>
            </m:e>
            <m:sub>
              <m:r>
                <m:rPr>
                  <m:sty m:val="p"/>
                </m:rPr>
                <m:t>w</m:t>
              </m:r>
              <m:r>
                <m:rPr>
                  <m:sty m:val="p"/>
                </m:rPr>
                <m:t>i</m:t>
              </m:r>
              <m:r>
                <m:rPr>
                  <m:sty m:val="p"/>
                </m:rPr>
                <m:t>t</m:t>
              </m:r>
              <m:r>
                <m:rPr>
                  <m:sty m:val="p"/>
                </m:rPr>
                <m:t>n</m:t>
              </m:r>
              <m:r>
                <m:rPr>
                  <m:sty m:val="p"/>
                </m:rPr>
                <m:t>e</m:t>
              </m:r>
              <m:r>
                <m:rPr>
                  <m:sty m:val="p"/>
                </m:rPr>
                <m:t>s</m:t>
              </m:r>
              <m:r>
                <m:rPr>
                  <m:sty m:val="p"/>
                </m:rPr>
                <m:t>s</m:t>
              </m:r>
            </m:sub>
          </m:sSub>
          <m:r>
            <m:rPr>
              <m:sty m:val="p"/>
            </m:rPr>
            <m:t>+</m:t>
          </m:r>
          <m:r>
            <m:t>68</m:t>
          </m:r>
          <m:r>
            <m:rPr>
              <m:sty m:val="p"/>
            </m:rPr>
            <m:t>,</m:t>
          </m:r>
          <m:r>
            <m:t>875</m:t>
          </m:r>
          <m:sSub>
            <m:e>
              <m:r>
                <m:t>N</m:t>
              </m:r>
            </m:e>
            <m:sub>
              <m:r>
                <m:rPr>
                  <m:sty m:val="p"/>
                </m:rPr>
                <m:t>a</m:t>
              </m:r>
              <m:r>
                <m:rPr>
                  <m:sty m:val="p"/>
                </m:rPr>
                <m:t>u</m:t>
              </m:r>
              <m:r>
                <m:rPr>
                  <m:sty m:val="p"/>
                </m:rPr>
                <m:t>t</m:t>
              </m:r>
              <m:r>
                <m:rPr>
                  <m:sty m:val="p"/>
                </m:rPr>
                <m:t>h</m:t>
              </m:r>
            </m:sub>
          </m:sSub>
        </m:oMath>
      </m:oMathPara>
    </w:p>
    <w:p>
      <w:pPr>
        <w:pStyle w:val="FirstParagraph"/>
      </w:pPr>
      <m:oMathPara>
        <m:oMathParaPr>
          <m:jc m:val="center"/>
        </m:oMathParaPr>
        <m:oMath>
          <m:r>
            <m:t>  </m:t>
          </m:r>
          <m:r>
            <m:rPr>
              <m:sty m:val="p"/>
            </m:rPr>
            <m:t>+</m:t>
          </m:r>
          <m:r>
            <m:t>243</m:t>
          </m:r>
          <m:r>
            <m:rPr>
              <m:sty m:val="p"/>
            </m:rPr>
            <m:t>,</m:t>
          </m:r>
          <m:r>
            <m:t>958</m:t>
          </m:r>
          <m:sSub>
            <m:e>
              <m:r>
                <m:t>N</m:t>
              </m:r>
            </m:e>
            <m:sub>
              <m:r>
                <m:rPr>
                  <m:sty m:val="p"/>
                </m:rPr>
                <m:t>u</m:t>
              </m:r>
              <m:r>
                <m:rPr>
                  <m:sty m:val="p"/>
                </m:rPr>
                <m:t>t</m:t>
              </m:r>
              <m:r>
                <m:rPr>
                  <m:sty m:val="p"/>
                </m:rPr>
                <m:t>x</m:t>
              </m:r>
              <m:r>
                <m:rPr>
                  <m:sty m:val="p"/>
                </m:rPr>
                <m:t>o</m:t>
              </m:r>
              <m:r>
                <m:rPr>
                  <m:sty m:val="p"/>
                </m:rPr>
                <m:t>_</m:t>
              </m:r>
              <m:r>
                <m:rPr>
                  <m:sty m:val="p"/>
                </m:rPr>
                <m:t>r</m:t>
              </m:r>
              <m:r>
                <m:rPr>
                  <m:sty m:val="p"/>
                </m:rPr>
                <m:t>e</m:t>
              </m:r>
              <m:r>
                <m:rPr>
                  <m:sty m:val="p"/>
                </m:rPr>
                <m:t>a</m:t>
              </m:r>
              <m:r>
                <m:rPr>
                  <m:sty m:val="p"/>
                </m:rPr>
                <m:t>d</m:t>
              </m:r>
            </m:sub>
          </m:sSub>
          <m:r>
            <m:rPr>
              <m:sty m:val="p"/>
            </m:rPr>
            <m:t>+</m:t>
          </m:r>
          <m:r>
            <m:t>243</m:t>
          </m:r>
          <m:r>
            <m:rPr>
              <m:sty m:val="p"/>
            </m:rPr>
            <m:t>,</m:t>
          </m:r>
          <m:r>
            <m:t>791</m:t>
          </m:r>
          <m:sSub>
            <m:e>
              <m:r>
                <m:t>N</m:t>
              </m:r>
            </m:e>
            <m:sub>
              <m:r>
                <m:rPr>
                  <m:sty m:val="p"/>
                </m:rPr>
                <m:t>u</m:t>
              </m:r>
              <m:r>
                <m:rPr>
                  <m:sty m:val="p"/>
                </m:rPr>
                <m:t>t</m:t>
              </m:r>
              <m:r>
                <m:rPr>
                  <m:sty m:val="p"/>
                </m:rPr>
                <m:t>x</m:t>
              </m:r>
              <m:r>
                <m:rPr>
                  <m:sty m:val="p"/>
                </m:rPr>
                <m:t>o</m:t>
              </m:r>
              <m:r>
                <m:rPr>
                  <m:sty m:val="p"/>
                </m:rPr>
                <m:t>_</m:t>
              </m:r>
              <m:r>
                <m:rPr>
                  <m:sty m:val="p"/>
                </m:rPr>
                <m:t>w</m:t>
              </m:r>
              <m:r>
                <m:rPr>
                  <m:sty m:val="p"/>
                </m:rPr>
                <m:t>r</m:t>
              </m:r>
              <m:r>
                <m:rPr>
                  <m:sty m:val="p"/>
                </m:rPr>
                <m:t>i</m:t>
              </m:r>
              <m:r>
                <m:rPr>
                  <m:sty m:val="p"/>
                </m:rPr>
                <m:t>t</m:t>
              </m:r>
              <m:r>
                <m:rPr>
                  <m:sty m:val="p"/>
                </m:rPr>
                <m:t>e</m:t>
              </m:r>
            </m:sub>
          </m:sSub>
        </m:oMath>
      </m:oMathPara>
    </w:p>
    <w:p>
      <w:pPr>
        <w:pStyle w:val="FirstParagraph"/>
      </w:pPr>
      <m:oMathPara>
        <m:oMathParaPr>
          <m:jc m:val="center"/>
        </m:oMathParaPr>
        <m:oMath>
          <m:r>
            <m:t>  </m:t>
          </m:r>
          <m:r>
            <m:rPr>
              <m:sty m:val="p"/>
            </m:rPr>
            <m:t>+</m:t>
          </m:r>
          <m:r>
            <m:t>292</m:t>
          </m:r>
          <m:sSub>
            <m:e>
              <m:r>
                <m:t>N</m:t>
              </m:r>
            </m:e>
            <m:sub>
              <m:r>
                <m:rPr>
                  <m:sty m:val="p"/>
                </m:rPr>
                <m:t>c</m:t>
              </m:r>
              <m:r>
                <m:rPr>
                  <m:sty m:val="p"/>
                </m:rPr>
                <m:t>a</m:t>
              </m:r>
              <m:r>
                <m:rPr>
                  <m:sty m:val="p"/>
                </m:rPr>
                <m:t>r</m:t>
              </m:r>
              <m:r>
                <m:rPr>
                  <m:sty m:val="p"/>
                </m:rPr>
                <m:t>r</m:t>
              </m:r>
              <m:r>
                <m:rPr>
                  <m:sty m:val="p"/>
                </m:rPr>
                <m:t>y</m:t>
              </m:r>
              <m:r>
                <m:rPr>
                  <m:sty m:val="p"/>
                </m:rPr>
                <m:t>_</m:t>
              </m:r>
              <m:r>
                <m:rPr>
                  <m:sty m:val="p"/>
                </m:rPr>
                <m:t>r</m:t>
              </m:r>
              <m:r>
                <m:rPr>
                  <m:sty m:val="p"/>
                </m:rPr>
                <m:t>e</m:t>
              </m:r>
              <m:r>
                <m:rPr>
                  <m:sty m:val="p"/>
                </m:rPr>
                <m:t>a</m:t>
              </m:r>
              <m:r>
                <m:rPr>
                  <m:sty m:val="p"/>
                </m:rPr>
                <m:t>d</m:t>
              </m:r>
            </m:sub>
          </m:sSub>
          <m:r>
            <m:rPr>
              <m:sty m:val="p"/>
            </m:rPr>
            <m:t>+</m:t>
          </m:r>
          <m:r>
            <m:t>198</m:t>
          </m:r>
          <m:r>
            <m:rPr>
              <m:sty m:val="p"/>
            </m:rPr>
            <m:t>,</m:t>
          </m:r>
          <m:r>
            <m:t>250</m:t>
          </m:r>
          <m:sSub>
            <m:e>
              <m:r>
                <m:t>N</m:t>
              </m:r>
            </m:e>
            <m:sub>
              <m:r>
                <m:rPr>
                  <m:sty m:val="p"/>
                </m:rPr>
                <m:t>c</m:t>
              </m:r>
              <m:r>
                <m:rPr>
                  <m:sty m:val="p"/>
                </m:rPr>
                <m:t>a</m:t>
              </m:r>
              <m:r>
                <m:rPr>
                  <m:sty m:val="p"/>
                </m:rPr>
                <m:t>r</m:t>
              </m:r>
              <m:r>
                <m:rPr>
                  <m:sty m:val="p"/>
                </m:rPr>
                <m:t>r</m:t>
              </m:r>
              <m:r>
                <m:rPr>
                  <m:sty m:val="p"/>
                </m:rPr>
                <m:t>y</m:t>
              </m:r>
              <m:r>
                <m:rPr>
                  <m:sty m:val="p"/>
                </m:rPr>
                <m:t>_</m:t>
              </m:r>
              <m:r>
                <m:rPr>
                  <m:sty m:val="p"/>
                </m:rPr>
                <m:t>w</m:t>
              </m:r>
              <m:r>
                <m:rPr>
                  <m:sty m:val="p"/>
                </m:rPr>
                <m:t>r</m:t>
              </m:r>
              <m:r>
                <m:rPr>
                  <m:sty m:val="p"/>
                </m:rPr>
                <m:t>i</m:t>
              </m:r>
              <m:r>
                <m:rPr>
                  <m:sty m:val="p"/>
                </m:rPr>
                <m:t>t</m:t>
              </m:r>
              <m:r>
                <m:rPr>
                  <m:sty m:val="p"/>
                </m:rPr>
                <m:t>e</m:t>
              </m:r>
            </m:sub>
          </m:sSub>
          <m:r>
            <m:rPr>
              <m:sty m:val="p"/>
            </m:rPr>
            <m:t>.</m:t>
          </m:r>
        </m:oMath>
      </m:oMathPara>
    </w:p>
    <w:p>
      <w:pPr>
        <w:pStyle w:val="FirstParagraph"/>
      </w:pPr>
      <w:r>
        <w:t xml:space="preserve">All terms are deterministic integers computable from canonical transaction data. The total block-weight limit is</w:t>
      </w:r>
      <w:r>
        <w:t xml:space="preserve"> </w:t>
      </w:r>
      <m:oMath>
        <m:r>
          <m:t>15</m:t>
        </m:r>
        <m:r>
          <m:rPr>
            <m:sty m:val="p"/>
          </m:rPr>
          <m:t>,</m:t>
        </m:r>
        <m:r>
          <m:t>000</m:t>
        </m:r>
        <m:r>
          <m:rPr>
            <m:sty m:val="p"/>
          </m:rPr>
          <m:t>,</m:t>
        </m:r>
        <m:r>
          <m:t>000</m:t>
        </m:r>
        <m:r>
          <m:rPr>
            <m:sty m:val="p"/>
          </m:rPr>
          <m:t>,</m:t>
        </m:r>
        <m:r>
          <m:t>000</m:t>
        </m:r>
      </m:oMath>
      <w:r>
        <w:t xml:space="preserve">, with independent hard caps including 7,500,000 complete transaction bytes, 4,096 new UTXO outputs, and 38,400 new entitlement units. These dimensional caps prevent a scalar weight from hiding a pathological concentration of one resource.</w:t>
      </w:r>
    </w:p>
    <w:p>
      <w:pPr>
        <w:pStyle w:val="BodyText"/>
      </w:pPr>
      <w:r>
        <w:drawing>
          <wp:inline>
            <wp:extent cx="5334000" cy="2133600"/>
            <wp:effectExtent b="0" l="0" r="0" t="0"/>
            <wp:docPr descr="" title="" id="28" name="Picture"/>
            <a:graphic>
              <a:graphicData uri="http://schemas.openxmlformats.org/drawingml/2006/picture">
                <pic:pic>
                  <pic:nvPicPr>
                    <pic:cNvPr descr="figures/tx_flow.png" id="29" name="Picture"/>
                    <pic:cNvPicPr>
                      <a:picLocks noChangeArrowheads="1" noChangeAspect="1"/>
                    </pic:cNvPicPr>
                  </pic:nvPicPr>
                  <pic:blipFill>
                    <a:blip r:embed="rId27"/>
                    <a:stretch>
                      <a:fillRect/>
                    </a:stretch>
                  </pic:blipFill>
                  <pic:spPr bwMode="auto">
                    <a:xfrm>
                      <a:off x="0" y="0"/>
                      <a:ext cx="5334000" cy="2133600"/>
                    </a:xfrm>
                    <a:prstGeom prst="rect">
                      <a:avLst/>
                    </a:prstGeom>
                    <a:noFill/>
                    <a:ln w="9525">
                      <a:noFill/>
                      <a:headEnd/>
                      <a:tailEnd/>
                    </a:ln>
                  </pic:spPr>
                </pic:pic>
              </a:graphicData>
            </a:graphic>
          </wp:inline>
        </w:drawing>
      </w:r>
    </w:p>
    <w:p>
      <w:pPr>
        <w:pStyle w:val="BodyText"/>
      </w:pPr>
      <w:r>
        <w:rPr>
          <w:b/>
          <w:bCs/>
        </w:rPr>
        <w:t xml:space="preserve">Figure 1.</w:t>
      </w:r>
      <w:r>
        <w:t xml:space="preserve"> </w:t>
      </w:r>
      <w:r>
        <w:t xml:space="preserve">A canonical transaction separates the body from authorization witness material. One ML-DSA authorization group may cover multiple same-owner inputs.</w:t>
      </w:r>
    </w:p>
    <w:bookmarkEnd w:id="30"/>
    <w:bookmarkEnd w:id="31"/>
    <w:bookmarkStart w:id="33" w:name="time-and-block-ordering"/>
    <w:p>
      <w:pPr>
        <w:pStyle w:val="Heading2"/>
      </w:pPr>
      <w:r>
        <w:t xml:space="preserve">3. Time and Block Ordering</w:t>
      </w:r>
    </w:p>
    <w:p>
      <w:pPr>
        <w:pStyle w:val="FirstParagraph"/>
      </w:pPr>
      <w:r>
        <w:t xml:space="preserve">Let block</w:t>
      </w:r>
      <w:r>
        <w:t xml:space="preserve"> </w:t>
      </w:r>
      <m:oMath>
        <m:sSub>
          <m:e>
            <m:r>
              <m:t>B</m:t>
            </m:r>
          </m:e>
          <m:sub>
            <m:r>
              <m:t>h</m:t>
            </m:r>
          </m:sub>
        </m:sSub>
      </m:oMath>
      <w:r>
        <w:t xml:space="preserve"> </w:t>
      </w:r>
      <w:r>
        <w:t xml:space="preserve">at height</w:t>
      </w:r>
      <w:r>
        <w:t xml:space="preserve"> </w:t>
      </w:r>
      <m:oMath>
        <m:r>
          <m:t>h</m:t>
        </m:r>
      </m:oMath>
      <w:r>
        <w:t xml:space="preserve"> </w:t>
      </w:r>
      <w:r>
        <w:t xml:space="preserve">commit to the identifier of</w:t>
      </w:r>
      <w:r>
        <w:t xml:space="preserve"> </w:t>
      </w:r>
      <m:oMath>
        <m:sSub>
          <m:e>
            <m:r>
              <m:t>B</m:t>
            </m:r>
          </m:e>
          <m:sub>
            <m:r>
              <m:t>h</m:t>
            </m:r>
            <m:r>
              <m:rPr>
                <m:sty m:val="p"/>
              </m:rPr>
              <m:t>−</m:t>
            </m:r>
            <m:r>
              <m:t>1</m:t>
            </m:r>
          </m:sub>
        </m:sSub>
      </m:oMath>
      <w:r>
        <w:t xml:space="preserve">. This predecessor relation creates a canonical work history once fork choice selects the best valid chain.</w:t>
      </w:r>
    </w:p>
    <w:p>
      <w:pPr>
        <w:pStyle w:val="BodyText"/>
      </w:pPr>
      <w:r>
        <w:t xml:space="preserve">BitFP targets</w:t>
      </w:r>
    </w:p>
    <w:p>
      <w:pPr>
        <w:pStyle w:val="BodyText"/>
      </w:pPr>
      <m:oMathPara>
        <m:oMathParaPr>
          <m:jc m:val="center"/>
        </m:oMathParaPr>
        <m:oMath>
          <m:r>
            <m:t>τ</m:t>
          </m:r>
          <m:r>
            <m:rPr>
              <m:sty m:val="p"/>
            </m:rPr>
            <m:t>=</m:t>
          </m:r>
          <m:r>
            <m:t>600</m:t>
          </m:r>
          <m:r>
            <m:t> </m:t>
          </m:r>
          <m:r>
            <m:rPr>
              <m:sty m:val="p"/>
            </m:rPr>
            <m:t>s</m:t>
          </m:r>
          <m:r>
            <m:rPr>
              <m:sty m:val="p"/>
            </m:rPr>
            <m:t>e</m:t>
          </m:r>
          <m:r>
            <m:rPr>
              <m:sty m:val="p"/>
            </m:rPr>
            <m:t>c</m:t>
          </m:r>
          <m:r>
            <m:rPr>
              <m:sty m:val="p"/>
            </m:rPr>
            <m:t>o</m:t>
          </m:r>
          <m:r>
            <m:rPr>
              <m:sty m:val="p"/>
            </m:rPr>
            <m:t>n</m:t>
          </m:r>
          <m:r>
            <m:rPr>
              <m:sty m:val="p"/>
            </m:rPr>
            <m:t>d</m:t>
          </m:r>
          <m:r>
            <m:rPr>
              <m:sty m:val="p"/>
            </m:rPr>
            <m:t>s</m:t>
          </m:r>
          <m:r>
            <m:rPr>
              <m:sty m:val="p"/>
            </m:rPr>
            <m:t>/</m:t>
          </m:r>
          <m:r>
            <m:rPr>
              <m:sty m:val="p"/>
            </m:rPr>
            <m:t>b</m:t>
          </m:r>
          <m:r>
            <m:rPr>
              <m:sty m:val="p"/>
            </m:rPr>
            <m:t>l</m:t>
          </m:r>
          <m:r>
            <m:rPr>
              <m:sty m:val="p"/>
            </m:rPr>
            <m:t>o</m:t>
          </m:r>
          <m:r>
            <m:rPr>
              <m:sty m:val="p"/>
            </m:rPr>
            <m:t>c</m:t>
          </m:r>
          <m:r>
            <m:rPr>
              <m:sty m:val="p"/>
            </m:rPr>
            <m:t>k</m:t>
          </m:r>
          <m:r>
            <m:rPr>
              <m:sty m:val="p"/>
            </m:rPr>
            <m:t>.</m:t>
          </m:r>
        </m:oMath>
      </m:oMathPara>
    </w:p>
    <w:p>
      <w:pPr>
        <w:pStyle w:val="FirstParagraph"/>
      </w:pPr>
      <w:r>
        <w:t xml:space="preserve">Timestamps are Unix seconds. Consensus uses MTP11 and a 900-second future-skew bound.</w:t>
      </w:r>
    </w:p>
    <w:bookmarkStart w:id="32" w:name="asert-difficulty"/>
    <w:p>
      <w:pPr>
        <w:pStyle w:val="Heading3"/>
      </w:pPr>
      <w:r>
        <w:t xml:space="preserve">3.1 ASERT difficulty</w:t>
      </w:r>
    </w:p>
    <w:p>
      <w:pPr>
        <w:pStyle w:val="FirstParagraph"/>
      </w:pPr>
      <w:r>
        <w:t xml:space="preserve">The conceptual ASERT target update from an anchor is</w:t>
      </w:r>
    </w:p>
    <w:p>
      <w:pPr>
        <w:pStyle w:val="BodyText"/>
      </w:pPr>
      <m:oMathPara>
        <m:oMathParaPr>
          <m:jc m:val="center"/>
        </m:oMathParaPr>
        <m:oMath>
          <m:r>
            <m:t>T</m:t>
          </m:r>
          <m:d>
            <m:dPr>
              <m:begChr m:val="("/>
              <m:endChr m:val=")"/>
              <m:sepChr m:val=""/>
              <m:grow/>
            </m:dPr>
            <m:e>
              <m:r>
                <m:t>h</m:t>
              </m:r>
              <m:r>
                <m:rPr>
                  <m:sty m:val="p"/>
                </m:rPr>
                <m:t>,</m:t>
              </m:r>
              <m:r>
                <m:t>t</m:t>
              </m:r>
            </m:e>
          </m:d>
          <m:r>
            <m:rPr>
              <m:sty m:val="p"/>
            </m:rPr>
            <m:t>=</m:t>
          </m:r>
          <m:r>
            <m:rPr>
              <m:sty m:val="p"/>
            </m:rPr>
            <m:t>c</m:t>
          </m:r>
          <m:r>
            <m:rPr>
              <m:sty m:val="p"/>
            </m:rPr>
            <m:t>l</m:t>
          </m:r>
          <m:r>
            <m:rPr>
              <m:sty m:val="p"/>
            </m:rPr>
            <m:t>a</m:t>
          </m:r>
          <m:r>
            <m:rPr>
              <m:sty m:val="p"/>
            </m:rPr>
            <m:t>m</m:t>
          </m:r>
          <m:r>
            <m:rPr>
              <m:sty m:val="p"/>
            </m:rPr>
            <m:t>p</m:t>
          </m:r>
          <m:d>
            <m:dPr>
              <m:begChr m:val="("/>
              <m:endChr m:val=")"/>
              <m:sepChr m:val=""/>
              <m:grow/>
            </m:dPr>
            <m:e>
              <m:sSub>
                <m:e>
                  <m:r>
                    <m:t>T</m:t>
                  </m:r>
                </m:e>
                <m:sub>
                  <m:r>
                    <m:t>a</m:t>
                  </m:r>
                </m:sub>
              </m:sSub>
              <m:r>
                <m:rPr>
                  <m:sty m:val="p"/>
                </m:rPr>
                <m:t>⋅</m:t>
              </m:r>
              <m:sSup>
                <m:e>
                  <m:r>
                    <m:t>2</m:t>
                  </m:r>
                </m:e>
                <m:sup>
                  <m:f>
                    <m:fPr>
                      <m:type m:val="bar"/>
                    </m:fPr>
                    <m:num>
                      <m:d>
                        <m:dPr>
                          <m:begChr m:val="("/>
                          <m:endChr m:val=")"/>
                          <m:sepChr m:val=""/>
                          <m:grow/>
                        </m:dPr>
                        <m:e>
                          <m:r>
                            <m:t>t</m:t>
                          </m:r>
                          <m:r>
                            <m:rPr>
                              <m:sty m:val="p"/>
                            </m:rPr>
                            <m:t>−</m:t>
                          </m:r>
                          <m:sSub>
                            <m:e>
                              <m:r>
                                <m:t>t</m:t>
                              </m:r>
                            </m:e>
                            <m:sub>
                              <m:r>
                                <m:t>a</m:t>
                              </m:r>
                            </m:sub>
                          </m:sSub>
                        </m:e>
                      </m:d>
                      <m:r>
                        <m:rPr>
                          <m:sty m:val="p"/>
                        </m:rPr>
                        <m:t>−</m:t>
                      </m:r>
                      <m:r>
                        <m:t>τ</m:t>
                      </m:r>
                      <m:d>
                        <m:dPr>
                          <m:begChr m:val="("/>
                          <m:endChr m:val=")"/>
                          <m:sepChr m:val=""/>
                          <m:grow/>
                        </m:dPr>
                        <m:e>
                          <m:r>
                            <m:t>h</m:t>
                          </m:r>
                          <m:r>
                            <m:rPr>
                              <m:sty m:val="p"/>
                            </m:rPr>
                            <m:t>−</m:t>
                          </m:r>
                          <m:sSub>
                            <m:e>
                              <m:r>
                                <m:t>h</m:t>
                              </m:r>
                            </m:e>
                            <m:sub>
                              <m:r>
                                <m:t>a</m:t>
                              </m:r>
                            </m:sub>
                          </m:sSub>
                        </m:e>
                      </m:d>
                    </m:num>
                    <m:den>
                      <m:r>
                        <m:t>H</m:t>
                      </m:r>
                    </m:den>
                  </m:f>
                </m:sup>
              </m:sSup>
              <m:r>
                <m:rPr>
                  <m:sty m:val="p"/>
                </m:rPr>
                <m:t>,</m:t>
              </m:r>
              <m:sSub>
                <m:e>
                  <m:r>
                    <m:t>T</m:t>
                  </m:r>
                </m:e>
                <m:sub>
                  <m:r>
                    <m:rPr>
                      <m:sty m:val="p"/>
                    </m:rPr>
                    <m:t>min</m:t>
                  </m:r>
                </m:sub>
              </m:sSub>
              <m:r>
                <m:rPr>
                  <m:sty m:val="p"/>
                </m:rPr>
                <m:t>,</m:t>
              </m:r>
              <m:sSub>
                <m:e>
                  <m:r>
                    <m:t>T</m:t>
                  </m:r>
                </m:e>
                <m:sub>
                  <m:r>
                    <m:rPr>
                      <m:sty m:val="p"/>
                    </m:rPr>
                    <m:t>max</m:t>
                  </m:r>
                </m:sub>
              </m:sSub>
            </m:e>
          </m:d>
          <m:r>
            <m:rPr>
              <m:sty m:val="p"/>
            </m:rPr>
            <m:t>,</m:t>
          </m:r>
        </m:oMath>
      </m:oMathPara>
    </w:p>
    <w:p>
      <w:pPr>
        <w:pStyle w:val="FirstParagraph"/>
      </w:pPr>
      <w:r>
        <w:t xml:space="preserve">where</w:t>
      </w:r>
      <w:r>
        <w:t xml:space="preserve"> </w:t>
      </w:r>
      <m:oMath>
        <m:r>
          <m:t>H</m:t>
        </m:r>
        <m:r>
          <m:rPr>
            <m:sty m:val="p"/>
          </m:rPr>
          <m:t>=</m:t>
        </m:r>
        <m:r>
          <m:t>86</m:t>
        </m:r>
        <m:r>
          <m:rPr>
            <m:sty m:val="p"/>
          </m:rPr>
          <m:t>,</m:t>
        </m:r>
        <m:r>
          <m:t>400</m:t>
        </m:r>
      </m:oMath>
      <w:r>
        <w:t xml:space="preserve"> </w:t>
      </w:r>
      <w:r>
        <w:t xml:space="preserve">seconds is the frozen half-life. The real-valued expression explains the control law; consensus uses the frozen exact integer encoding, rounding, and clamping semantics from PARAM-01.</w:t>
      </w:r>
    </w:p>
    <w:p>
      <w:pPr>
        <w:pStyle w:val="BodyText"/>
      </w:pPr>
      <w:r>
        <w:t xml:space="preserve">If blocks arrive faster than the 600-second schedule, the exponent becomes negative and the target tightens. If they arrive slower, the target relaxes.</w:t>
      </w:r>
    </w:p>
    <w:bookmarkEnd w:id="32"/>
    <w:bookmarkEnd w:id="33"/>
    <w:bookmarkStart w:id="43" w:name="proof-of-work"/>
    <w:p>
      <w:pPr>
        <w:pStyle w:val="Heading2"/>
      </w:pPr>
      <w:r>
        <w:t xml:space="preserve">4. Proof-of-Work</w:t>
      </w:r>
    </w:p>
    <w:p>
      <w:pPr>
        <w:pStyle w:val="FirstParagraph"/>
      </w:pPr>
      <w:r>
        <w:t xml:space="preserve">Bitcoin’s inner work function is a hash-target search. BitFP retains target-based acceptance but replaces the inner function with a frozen data-dependent computation intended to preserve meaningful commodity participation while remaining amenable to succinct verification.</w:t>
      </w:r>
    </w:p>
    <w:bookmarkStart w:id="34" w:name="epoch-and-source-exact-dataset"/>
    <w:p>
      <w:pPr>
        <w:pStyle w:val="Heading3"/>
      </w:pPr>
      <w:r>
        <w:t xml:space="preserve">4.1 Epoch and source-exact dataset</w:t>
      </w:r>
    </w:p>
    <w:p>
      <w:pPr>
        <w:pStyle w:val="FirstParagraph"/>
      </w:pPr>
      <w:r>
        <w:t xml:space="preserve">The epoch is</w:t>
      </w:r>
    </w:p>
    <w:p>
      <w:pPr>
        <w:pStyle w:val="BodyText"/>
      </w:pPr>
      <m:oMathPara>
        <m:oMathParaPr>
          <m:jc m:val="center"/>
        </m:oMathParaPr>
        <m:oMath>
          <m:r>
            <m:t>e</m:t>
          </m:r>
          <m:d>
            <m:dPr>
              <m:begChr m:val="("/>
              <m:endChr m:val=")"/>
              <m:sepChr m:val=""/>
              <m:grow/>
            </m:dPr>
            <m:e>
              <m:r>
                <m:t>h</m:t>
              </m:r>
            </m:e>
          </m:d>
          <m:r>
            <m:rPr>
              <m:sty m:val="p"/>
            </m:rPr>
            <m:t>=</m:t>
          </m:r>
          <m:r>
            <m:rPr>
              <m:sty m:val="p"/>
            </m:rPr>
            <m:t>f</m:t>
          </m:r>
          <m:r>
            <m:rPr>
              <m:sty m:val="p"/>
            </m:rPr>
            <m:t>l</m:t>
          </m:r>
          <m:r>
            <m:rPr>
              <m:sty m:val="p"/>
            </m:rPr>
            <m:t>o</m:t>
          </m:r>
          <m:r>
            <m:rPr>
              <m:sty m:val="p"/>
            </m:rPr>
            <m:t>o</m:t>
          </m:r>
          <m:r>
            <m:rPr>
              <m:sty m:val="p"/>
            </m:rPr>
            <m:t>r</m:t>
          </m:r>
          <m:r>
            <m:t>​</m:t>
          </m:r>
          <m:d>
            <m:dPr>
              <m:begChr m:val="("/>
              <m:endChr m:val=")"/>
              <m:sepChr m:val=""/>
              <m:grow/>
            </m:dPr>
            <m:e>
              <m:f>
                <m:fPr>
                  <m:type m:val="bar"/>
                </m:fPr>
                <m:num>
                  <m:r>
                    <m:t>h</m:t>
                  </m:r>
                </m:num>
                <m:den>
                  <m:r>
                    <m:t>4320</m:t>
                  </m:r>
                </m:den>
              </m:f>
            </m:e>
          </m:d>
          <m:r>
            <m:rPr>
              <m:sty m:val="p"/>
            </m:rPr>
            <m:t>.</m:t>
          </m:r>
        </m:oMath>
      </m:oMathPara>
    </w:p>
    <w:p>
      <w:pPr>
        <w:pStyle w:val="FirstParagraph"/>
      </w:pPr>
      <w:r>
        <w:t xml:space="preserve">Let</w:t>
      </w:r>
      <w:r>
        <w:t xml:space="preserve"> </w:t>
      </w:r>
      <m:oMath>
        <m:sSub>
          <m:e>
            <m:r>
              <m:t>C</m:t>
            </m:r>
          </m:e>
          <m:sub>
            <m:r>
              <m:t>e</m:t>
            </m:r>
          </m:sub>
        </m:sSub>
      </m:oMath>
      <w:r>
        <w:t xml:space="preserve"> </w:t>
      </w:r>
      <w:r>
        <w:t xml:space="preserve">denote the canonical ancestry context for epoch</w:t>
      </w:r>
      <w:r>
        <w:t xml:space="preserve"> </w:t>
      </w:r>
      <m:oMath>
        <m:r>
          <m:t>e</m:t>
        </m:r>
      </m:oMath>
      <w:r>
        <w:t xml:space="preserve">. The frozen PARAM-02 dataset constructor defines</w:t>
      </w:r>
    </w:p>
    <w:p>
      <w:pPr>
        <w:pStyle w:val="BodyText"/>
      </w:pPr>
      <m:oMathPara>
        <m:oMathParaPr>
          <m:jc m:val="center"/>
        </m:oMathParaPr>
        <m:oMath>
          <m:sSub>
            <m:e>
              <m:r>
                <m:t>D</m:t>
              </m:r>
            </m:e>
            <m:sub>
              <m:r>
                <m:t>e</m:t>
              </m:r>
            </m:sub>
          </m:sSub>
          <m:r>
            <m:rPr>
              <m:sty m:val="p"/>
            </m:rPr>
            <m:t>=</m:t>
          </m:r>
          <m:r>
            <m:rPr>
              <m:sty m:val="p"/>
            </m:rPr>
            <m:t>B</m:t>
          </m:r>
          <m:r>
            <m:rPr>
              <m:sty m:val="p"/>
            </m:rPr>
            <m:t>u</m:t>
          </m:r>
          <m:r>
            <m:rPr>
              <m:sty m:val="p"/>
            </m:rPr>
            <m:t>i</m:t>
          </m:r>
          <m:r>
            <m:rPr>
              <m:sty m:val="p"/>
            </m:rPr>
            <m:t>l</m:t>
          </m:r>
          <m:r>
            <m:rPr>
              <m:sty m:val="p"/>
            </m:rPr>
            <m:t>d</m:t>
          </m:r>
          <m:r>
            <m:rPr>
              <m:sty m:val="p"/>
            </m:rPr>
            <m:t>D</m:t>
          </m:r>
          <m:r>
            <m:rPr>
              <m:sty m:val="p"/>
            </m:rPr>
            <m:t>a</m:t>
          </m:r>
          <m:r>
            <m:rPr>
              <m:sty m:val="p"/>
            </m:rPr>
            <m:t>t</m:t>
          </m:r>
          <m:r>
            <m:rPr>
              <m:sty m:val="p"/>
            </m:rPr>
            <m:t>a</m:t>
          </m:r>
          <m:r>
            <m:rPr>
              <m:sty m:val="p"/>
            </m:rPr>
            <m:t>s</m:t>
          </m:r>
          <m:r>
            <m:rPr>
              <m:sty m:val="p"/>
            </m:rPr>
            <m:t>e</m:t>
          </m:r>
          <m:r>
            <m:rPr>
              <m:sty m:val="p"/>
            </m:rPr>
            <m:t>t</m:t>
          </m:r>
          <m:d>
            <m:dPr>
              <m:begChr m:val="("/>
              <m:endChr m:val=")"/>
              <m:sepChr m:val=""/>
              <m:grow/>
            </m:dPr>
            <m:e>
              <m:r>
                <m:rPr>
                  <m:sty m:val="p"/>
                </m:rPr>
                <m:t>P</m:t>
              </m:r>
              <m:r>
                <m:rPr>
                  <m:sty m:val="p"/>
                </m:rPr>
                <m:t>A</m:t>
              </m:r>
              <m:r>
                <m:rPr>
                  <m:sty m:val="p"/>
                </m:rPr>
                <m:t>R</m:t>
              </m:r>
              <m:r>
                <m:rPr>
                  <m:sty m:val="p"/>
                </m:rPr>
                <m:t>A</m:t>
              </m:r>
              <m:r>
                <m:rPr>
                  <m:sty m:val="p"/>
                </m:rPr>
                <m:t>M</m:t>
              </m:r>
              <m:r>
                <m:rPr>
                  <m:sty m:val="p"/>
                </m:rPr>
                <m:t>02</m:t>
              </m:r>
              <m:r>
                <m:rPr>
                  <m:sty m:val="p"/>
                </m:rPr>
                <m:t>,</m:t>
              </m:r>
              <m:sSub>
                <m:e>
                  <m:r>
                    <m:t>C</m:t>
                  </m:r>
                </m:e>
                <m:sub>
                  <m:r>
                    <m:t>e</m:t>
                  </m:r>
                </m:sub>
              </m:sSub>
            </m:e>
          </m:d>
          <m:r>
            <m:rPr>
              <m:sty m:val="p"/>
            </m:rPr>
            <m:t>,</m:t>
          </m:r>
        </m:oMath>
      </m:oMathPara>
    </w:p>
    <w:p>
      <w:pPr>
        <w:pStyle w:val="FirstParagraph"/>
      </w:pPr>
      <w:r>
        <w:t xml:space="preserve">with</w:t>
      </w:r>
      <w:r>
        <w:t xml:space="preserve"> </w:t>
      </w:r>
      <m:oMath>
        <m:d>
          <m:dPr>
            <m:begChr m:val="|"/>
            <m:endChr m:val="|"/>
            <m:sepChr m:val=""/>
            <m:grow/>
          </m:dPr>
          <m:e>
            <m:sSub>
              <m:e>
                <m:r>
                  <m:t>D</m:t>
                </m:r>
              </m:e>
              <m:sub>
                <m:r>
                  <m:t>e</m:t>
                </m:r>
              </m:sub>
            </m:sSub>
          </m:e>
        </m:d>
        <m:r>
          <m:rPr>
            <m:sty m:val="p"/>
          </m:rPr>
          <m:t>=</m:t>
        </m:r>
        <m:r>
          <m:t>16</m:t>
        </m:r>
        <m:r>
          <m:t> </m:t>
        </m:r>
        <m:r>
          <m:rPr>
            <m:sty m:val="p"/>
          </m:rPr>
          <m:t>M</m:t>
        </m:r>
        <m:r>
          <m:rPr>
            <m:sty m:val="p"/>
          </m:rPr>
          <m:t>i</m:t>
        </m:r>
        <m:r>
          <m:rPr>
            <m:sty m:val="p"/>
          </m:rPr>
          <m:t>B</m:t>
        </m:r>
      </m:oMath>
      <w:r>
        <w:t xml:space="preserve"> </w:t>
      </w:r>
      <w:r>
        <w:t xml:space="preserve">and one build pass. Every correct implementation must obtain the same byte-exact</w:t>
      </w:r>
      <w:r>
        <w:t xml:space="preserve"> </w:t>
      </w:r>
      <m:oMath>
        <m:sSub>
          <m:e>
            <m:r>
              <m:t>D</m:t>
            </m:r>
          </m:e>
          <m:sub>
            <m:r>
              <m:t>e</m:t>
            </m:r>
          </m:sub>
        </m:sSub>
      </m:oMath>
      <w:r>
        <w:t xml:space="preserve"> </w:t>
      </w:r>
      <w:r>
        <w:t xml:space="preserve">for the same consensus context. The miner does not choose a favorable dataset.</w:t>
      </w:r>
    </w:p>
    <w:p>
      <w:pPr>
        <w:pStyle w:val="BodyText"/>
      </w:pPr>
      <w:r>
        <w:t xml:space="preserve">The whitepaper uses</w:t>
      </w:r>
      <w:r>
        <w:t xml:space="preserve"> </w:t>
      </w:r>
      <m:oMath>
        <m:r>
          <m:rPr>
            <m:sty m:val="p"/>
          </m:rPr>
          <m:t>B</m:t>
        </m:r>
        <m:r>
          <m:rPr>
            <m:sty m:val="p"/>
          </m:rPr>
          <m:t>u</m:t>
        </m:r>
        <m:r>
          <m:rPr>
            <m:sty m:val="p"/>
          </m:rPr>
          <m:t>i</m:t>
        </m:r>
        <m:r>
          <m:rPr>
            <m:sty m:val="p"/>
          </m:rPr>
          <m:t>l</m:t>
        </m:r>
        <m:r>
          <m:rPr>
            <m:sty m:val="p"/>
          </m:rPr>
          <m:t>d</m:t>
        </m:r>
        <m:r>
          <m:rPr>
            <m:sty m:val="p"/>
          </m:rPr>
          <m:t>D</m:t>
        </m:r>
        <m:r>
          <m:rPr>
            <m:sty m:val="p"/>
          </m:rPr>
          <m:t>a</m:t>
        </m:r>
        <m:r>
          <m:rPr>
            <m:sty m:val="p"/>
          </m:rPr>
          <m:t>t</m:t>
        </m:r>
        <m:r>
          <m:rPr>
            <m:sty m:val="p"/>
          </m:rPr>
          <m:t>a</m:t>
        </m:r>
        <m:r>
          <m:rPr>
            <m:sty m:val="p"/>
          </m:rPr>
          <m:t>s</m:t>
        </m:r>
        <m:r>
          <m:rPr>
            <m:sty m:val="p"/>
          </m:rPr>
          <m:t>e</m:t>
        </m:r>
        <m:r>
          <m:rPr>
            <m:sty m:val="p"/>
          </m:rPr>
          <m:t>t</m:t>
        </m:r>
      </m:oMath>
      <w:r>
        <w:t xml:space="preserve"> </w:t>
      </w:r>
      <w:r>
        <w:t xml:space="preserve">as notation for the frozen source-exact function; it does not replace the normative byte-level algorithm.</w:t>
      </w:r>
    </w:p>
    <w:bookmarkEnd w:id="34"/>
    <w:bookmarkStart w:id="35" w:name="private-worker-state"/>
    <w:p>
      <w:pPr>
        <w:pStyle w:val="Heading3"/>
      </w:pPr>
      <w:r>
        <w:t xml:space="preserve">4.2 Private worker state</w:t>
      </w:r>
    </w:p>
    <w:p>
      <w:pPr>
        <w:pStyle w:val="FirstParagraph"/>
      </w:pPr>
      <w:r>
        <w:t xml:space="preserve">Each worker has a private 32 MiB scratchpad</w:t>
      </w:r>
      <w:r>
        <w:t xml:space="preserve"> </w:t>
      </w:r>
      <m:oMath>
        <m:sSup>
          <m:e>
            <m:r>
              <m:t>M</m:t>
            </m:r>
          </m:e>
          <m:sup>
            <m:d>
              <m:dPr>
                <m:begChr m:val="("/>
                <m:endChr m:val=")"/>
                <m:sepChr m:val=""/>
                <m:grow/>
              </m:dPr>
              <m:e>
                <m:r>
                  <m:t>w</m:t>
                </m:r>
              </m:e>
            </m:d>
          </m:sup>
        </m:sSup>
      </m:oMath>
      <w:r>
        <w:t xml:space="preserve"> </w:t>
      </w:r>
      <w:r>
        <w:t xml:space="preserve">with 64-byte lines. Let the initial worker state be</w:t>
      </w:r>
    </w:p>
    <w:p>
      <w:pPr>
        <w:pStyle w:val="BodyText"/>
      </w:pPr>
      <m:oMathPara>
        <m:oMathParaPr>
          <m:jc m:val="center"/>
        </m:oMathParaPr>
        <m:oMath>
          <m:sSub>
            <m:e>
              <m:r>
                <m:t>s</m:t>
              </m:r>
            </m:e>
            <m:sub>
              <m:r>
                <m:t>0</m:t>
              </m:r>
            </m:sub>
          </m:sSub>
          <m:r>
            <m:rPr>
              <m:sty m:val="p"/>
            </m:rPr>
            <m:t>=</m:t>
          </m:r>
          <m:r>
            <m:rPr>
              <m:sty m:val="p"/>
            </m:rPr>
            <m:t>I</m:t>
          </m:r>
          <m:r>
            <m:rPr>
              <m:sty m:val="p"/>
            </m:rPr>
            <m:t>n</m:t>
          </m:r>
          <m:r>
            <m:rPr>
              <m:sty m:val="p"/>
            </m:rPr>
            <m:t>i</m:t>
          </m:r>
          <m:r>
            <m:rPr>
              <m:sty m:val="p"/>
            </m:rPr>
            <m:t>t</m:t>
          </m:r>
          <m:d>
            <m:dPr>
              <m:begChr m:val="("/>
              <m:endChr m:val=")"/>
              <m:sepChr m:val=""/>
              <m:grow/>
            </m:dPr>
            <m:e>
              <m:r>
                <m:rPr>
                  <m:sty m:val="p"/>
                </m:rPr>
                <m:t>b</m:t>
              </m:r>
              <m:r>
                <m:rPr>
                  <m:sty m:val="p"/>
                </m:rPr>
                <m:t>l</m:t>
              </m:r>
              <m:r>
                <m:rPr>
                  <m:sty m:val="p"/>
                </m:rPr>
                <m:t>o</m:t>
              </m:r>
              <m:r>
                <m:rPr>
                  <m:sty m:val="p"/>
                </m:rPr>
                <m:t>c</m:t>
              </m:r>
              <m:r>
                <m:rPr>
                  <m:sty m:val="p"/>
                </m:rPr>
                <m:t>k</m:t>
              </m:r>
              <m:r>
                <m:rPr>
                  <m:sty m:val="p"/>
                </m:rPr>
                <m:t>_</m:t>
              </m:r>
              <m:r>
                <m:rPr>
                  <m:sty m:val="p"/>
                </m:rPr>
                <m:t>c</m:t>
              </m:r>
              <m:r>
                <m:rPr>
                  <m:sty m:val="p"/>
                </m:rPr>
                <m:t>o</m:t>
              </m:r>
              <m:r>
                <m:rPr>
                  <m:sty m:val="p"/>
                </m:rPr>
                <m:t>n</m:t>
              </m:r>
              <m:r>
                <m:rPr>
                  <m:sty m:val="p"/>
                </m:rPr>
                <m:t>t</m:t>
              </m:r>
              <m:r>
                <m:rPr>
                  <m:sty m:val="p"/>
                </m:rPr>
                <m:t>e</m:t>
              </m:r>
              <m:r>
                <m:rPr>
                  <m:sty m:val="p"/>
                </m:rPr>
                <m:t>x</m:t>
              </m:r>
              <m:r>
                <m:rPr>
                  <m:sty m:val="p"/>
                </m:rPr>
                <m:t>t</m:t>
              </m:r>
              <m:r>
                <m:rPr>
                  <m:sty m:val="p"/>
                </m:rPr>
                <m:t>,</m:t>
              </m:r>
              <m:r>
                <m:rPr>
                  <m:sty m:val="p"/>
                </m:rPr>
                <m:t>w</m:t>
              </m:r>
              <m:r>
                <m:rPr>
                  <m:sty m:val="p"/>
                </m:rPr>
                <m:t>o</m:t>
              </m:r>
              <m:r>
                <m:rPr>
                  <m:sty m:val="p"/>
                </m:rPr>
                <m:t>r</m:t>
              </m:r>
              <m:r>
                <m:rPr>
                  <m:sty m:val="p"/>
                </m:rPr>
                <m:t>k</m:t>
              </m:r>
              <m:r>
                <m:rPr>
                  <m:sty m:val="p"/>
                </m:rPr>
                <m:t>e</m:t>
              </m:r>
              <m:r>
                <m:rPr>
                  <m:sty m:val="p"/>
                </m:rPr>
                <m:t>r</m:t>
              </m:r>
              <m:r>
                <m:rPr>
                  <m:sty m:val="p"/>
                </m:rPr>
                <m:t>_</m:t>
              </m:r>
              <m:r>
                <m:rPr>
                  <m:sty m:val="p"/>
                </m:rPr>
                <m:t>c</m:t>
              </m:r>
              <m:r>
                <m:rPr>
                  <m:sty m:val="p"/>
                </m:rPr>
                <m:t>o</m:t>
              </m:r>
              <m:r>
                <m:rPr>
                  <m:sty m:val="p"/>
                </m:rPr>
                <m:t>n</m:t>
              </m:r>
              <m:r>
                <m:rPr>
                  <m:sty m:val="p"/>
                </m:rPr>
                <m:t>t</m:t>
              </m:r>
              <m:r>
                <m:rPr>
                  <m:sty m:val="p"/>
                </m:rPr>
                <m:t>e</m:t>
              </m:r>
              <m:r>
                <m:rPr>
                  <m:sty m:val="p"/>
                </m:rPr>
                <m:t>x</m:t>
              </m:r>
              <m:r>
                <m:rPr>
                  <m:sty m:val="p"/>
                </m:rPr>
                <m:t>t</m:t>
              </m:r>
              <m:r>
                <m:rPr>
                  <m:sty m:val="p"/>
                </m:rPr>
                <m:t>,</m:t>
              </m:r>
              <m:sSub>
                <m:e>
                  <m:r>
                    <m:t>D</m:t>
                  </m:r>
                </m:e>
                <m:sub>
                  <m:r>
                    <m:t>e</m:t>
                  </m:r>
                </m:sub>
              </m:sSub>
              <m:r>
                <m:rPr>
                  <m:sty m:val="p"/>
                </m:rPr>
                <m:t>,</m:t>
              </m:r>
              <m:sSup>
                <m:e>
                  <m:r>
                    <m:t>M</m:t>
                  </m:r>
                </m:e>
                <m:sup>
                  <m:d>
                    <m:dPr>
                      <m:begChr m:val="("/>
                      <m:endChr m:val=")"/>
                      <m:sepChr m:val=""/>
                      <m:grow/>
                    </m:dPr>
                    <m:e>
                      <m:r>
                        <m:t>w</m:t>
                      </m:r>
                    </m:e>
                  </m:d>
                </m:sup>
              </m:sSup>
            </m:e>
          </m:d>
          <m:r>
            <m:rPr>
              <m:sty m:val="p"/>
            </m:rPr>
            <m:t>.</m:t>
          </m:r>
        </m:oMath>
      </m:oMathPara>
    </w:p>
    <w:p>
      <w:pPr>
        <w:pStyle w:val="FirstParagraph"/>
      </w:pPr>
      <w:r>
        <w:t xml:space="preserve">A mix pass is a deterministic recurrence. For mix step</w:t>
      </w:r>
      <w:r>
        <w:t xml:space="preserve"> </w:t>
      </w:r>
      <m:oMath>
        <m:r>
          <m:t>t</m:t>
        </m:r>
      </m:oMath>
      <w:r>
        <w:t xml:space="preserve">,</w:t>
      </w:r>
    </w:p>
    <w:p>
      <w:pPr>
        <w:pStyle w:val="BodyText"/>
      </w:pPr>
      <m:oMathPara>
        <m:oMathParaPr>
          <m:jc m:val="center"/>
        </m:oMathParaPr>
        <m:oMath>
          <m:sSub>
            <m:e>
              <m:r>
                <m:t>a</m:t>
              </m:r>
            </m:e>
            <m:sub>
              <m:r>
                <m:t>t</m:t>
              </m:r>
            </m:sub>
          </m:sSub>
          <m:r>
            <m:rPr>
              <m:sty m:val="p"/>
            </m:rPr>
            <m:t>=</m:t>
          </m:r>
          <m:r>
            <m:rPr>
              <m:sty m:val="p"/>
            </m:rPr>
            <m:t>A</m:t>
          </m:r>
          <m:r>
            <m:rPr>
              <m:sty m:val="p"/>
            </m:rPr>
            <m:t>d</m:t>
          </m:r>
          <m:r>
            <m:rPr>
              <m:sty m:val="p"/>
            </m:rPr>
            <m:t>d</m:t>
          </m:r>
          <m:r>
            <m:rPr>
              <m:sty m:val="p"/>
            </m:rPr>
            <m:t>r</m:t>
          </m:r>
          <m:d>
            <m:dPr>
              <m:begChr m:val="("/>
              <m:endChr m:val=")"/>
              <m:sepChr m:val=""/>
              <m:grow/>
            </m:dPr>
            <m:e>
              <m:sSub>
                <m:e>
                  <m:r>
                    <m:t>s</m:t>
                  </m:r>
                </m:e>
                <m:sub>
                  <m:r>
                    <m:t>t</m:t>
                  </m:r>
                </m:sub>
              </m:sSub>
              <m:r>
                <m:rPr>
                  <m:sty m:val="p"/>
                </m:rPr>
                <m:t>,</m:t>
              </m:r>
              <m:r>
                <m:t>t</m:t>
              </m:r>
            </m:e>
          </m:d>
          <m:r>
            <m:t> </m:t>
          </m:r>
          <m:r>
            <m:rPr>
              <m:sty m:val="p"/>
            </m:rPr>
            <m:t>mod</m:t>
          </m:r>
          <m:r>
            <m:t> </m:t>
          </m:r>
          <m:sSub>
            <m:e>
              <m:r>
                <m:t>N</m:t>
              </m:r>
            </m:e>
            <m:sub>
              <m:r>
                <m:rPr>
                  <m:sty m:val="p"/>
                </m:rPr>
                <m:t>l</m:t>
              </m:r>
              <m:r>
                <m:rPr>
                  <m:sty m:val="p"/>
                </m:rPr>
                <m:t>i</m:t>
              </m:r>
              <m:r>
                <m:rPr>
                  <m:sty m:val="p"/>
                </m:rPr>
                <m:t>n</m:t>
              </m:r>
              <m:r>
                <m:rPr>
                  <m:sty m:val="p"/>
                </m:rPr>
                <m:t>e</m:t>
              </m:r>
              <m:r>
                <m:rPr>
                  <m:sty m:val="p"/>
                </m:rPr>
                <m:t>s</m:t>
              </m:r>
            </m:sub>
          </m:sSub>
          <m:r>
            <m:rPr>
              <m:sty m:val="p"/>
            </m:rPr>
            <m:t>,</m:t>
          </m:r>
        </m:oMath>
      </m:oMathPara>
    </w:p>
    <w:p>
      <w:pPr>
        <w:pStyle w:val="FirstParagraph"/>
      </w:pPr>
      <m:oMathPara>
        <m:oMathParaPr>
          <m:jc m:val="center"/>
        </m:oMathParaPr>
        <m:oMath>
          <m:sSub>
            <m:e>
              <m:r>
                <m:rPr>
                  <m:sty m:val="p"/>
                </m:rPr>
                <m:t>ℓ</m:t>
              </m:r>
            </m:e>
            <m:sub>
              <m:r>
                <m:t>t</m:t>
              </m:r>
            </m:sub>
          </m:sSub>
          <m:r>
            <m:rPr>
              <m:sty m:val="p"/>
            </m:rPr>
            <m:t>=</m:t>
          </m:r>
          <m:r>
            <m:rPr>
              <m:sty m:val="p"/>
            </m:rPr>
            <m:t>R</m:t>
          </m:r>
          <m:r>
            <m:rPr>
              <m:sty m:val="p"/>
            </m:rPr>
            <m:t>e</m:t>
          </m:r>
          <m:r>
            <m:rPr>
              <m:sty m:val="p"/>
            </m:rPr>
            <m:t>a</m:t>
          </m:r>
          <m:r>
            <m:rPr>
              <m:sty m:val="p"/>
            </m:rPr>
            <m:t>d</m:t>
          </m:r>
          <m:d>
            <m:dPr>
              <m:begChr m:val="("/>
              <m:endChr m:val=")"/>
              <m:sepChr m:val=""/>
              <m:grow/>
            </m:dPr>
            <m:e>
              <m:sSub>
                <m:e>
                  <m:r>
                    <m:t>D</m:t>
                  </m:r>
                </m:e>
                <m:sub>
                  <m:r>
                    <m:t>e</m:t>
                  </m:r>
                </m:sub>
              </m:sSub>
              <m:r>
                <m:rPr>
                  <m:sty m:val="p"/>
                </m:rPr>
                <m:t>,</m:t>
              </m:r>
              <m:sSup>
                <m:e>
                  <m:r>
                    <m:t>M</m:t>
                  </m:r>
                </m:e>
                <m:sup>
                  <m:d>
                    <m:dPr>
                      <m:begChr m:val="("/>
                      <m:endChr m:val=")"/>
                      <m:sepChr m:val=""/>
                      <m:grow/>
                    </m:dPr>
                    <m:e>
                      <m:r>
                        <m:t>w</m:t>
                      </m:r>
                    </m:e>
                  </m:d>
                </m:sup>
              </m:sSup>
              <m:r>
                <m:rPr>
                  <m:sty m:val="p"/>
                </m:rPr>
                <m:t>,</m:t>
              </m:r>
              <m:sSub>
                <m:e>
                  <m:r>
                    <m:t>a</m:t>
                  </m:r>
                </m:e>
                <m:sub>
                  <m:r>
                    <m:t>t</m:t>
                  </m:r>
                </m:sub>
              </m:sSub>
            </m:e>
          </m:d>
          <m:r>
            <m:rPr>
              <m:sty m:val="p"/>
            </m:rPr>
            <m:t>,</m:t>
          </m:r>
        </m:oMath>
      </m:oMathPara>
    </w:p>
    <w:p>
      <w:pPr>
        <w:pStyle w:val="FirstParagraph"/>
      </w:pPr>
      <m:oMathPara>
        <m:oMathParaPr>
          <m:jc m:val="center"/>
        </m:oMathParaPr>
        <m:oMath>
          <m:sSub>
            <m:e>
              <m:r>
                <m:t>s</m:t>
              </m:r>
            </m:e>
            <m:sub>
              <m:r>
                <m:t>t</m:t>
              </m:r>
              <m:r>
                <m:rPr>
                  <m:sty m:val="p"/>
                </m:rPr>
                <m:t>+</m:t>
              </m:r>
              <m:r>
                <m:t>1</m:t>
              </m:r>
            </m:sub>
          </m:sSub>
          <m:r>
            <m:rPr>
              <m:sty m:val="p"/>
            </m:rPr>
            <m:t>=</m:t>
          </m:r>
          <m:r>
            <m:rPr>
              <m:sty m:val="p"/>
            </m:rPr>
            <m:t>M</m:t>
          </m:r>
          <m:r>
            <m:rPr>
              <m:sty m:val="p"/>
            </m:rPr>
            <m:t>i</m:t>
          </m:r>
          <m:r>
            <m:rPr>
              <m:sty m:val="p"/>
            </m:rPr>
            <m:t>x</m:t>
          </m:r>
          <m:r>
            <m:rPr>
              <m:sty m:val="p"/>
            </m:rPr>
            <m:t>S</m:t>
          </m:r>
          <m:r>
            <m:rPr>
              <m:sty m:val="p"/>
            </m:rPr>
            <m:t>t</m:t>
          </m:r>
          <m:r>
            <m:rPr>
              <m:sty m:val="p"/>
            </m:rPr>
            <m:t>e</m:t>
          </m:r>
          <m:r>
            <m:rPr>
              <m:sty m:val="p"/>
            </m:rPr>
            <m:t>p</m:t>
          </m:r>
          <m:d>
            <m:dPr>
              <m:begChr m:val="("/>
              <m:endChr m:val=")"/>
              <m:sepChr m:val=""/>
              <m:grow/>
            </m:dPr>
            <m:e>
              <m:sSub>
                <m:e>
                  <m:r>
                    <m:t>s</m:t>
                  </m:r>
                </m:e>
                <m:sub>
                  <m:r>
                    <m:t>t</m:t>
                  </m:r>
                </m:sub>
              </m:sSub>
              <m:r>
                <m:rPr>
                  <m:sty m:val="p"/>
                </m:rPr>
                <m:t>,</m:t>
              </m:r>
              <m:sSub>
                <m:e>
                  <m:r>
                    <m:rPr>
                      <m:sty m:val="p"/>
                    </m:rPr>
                    <m:t>ℓ</m:t>
                  </m:r>
                </m:e>
                <m:sub>
                  <m:r>
                    <m:t>t</m:t>
                  </m:r>
                </m:sub>
              </m:sSub>
              <m:r>
                <m:rPr>
                  <m:sty m:val="p"/>
                </m:rPr>
                <m:t>,</m:t>
              </m:r>
              <m:r>
                <m:t>t</m:t>
              </m:r>
            </m:e>
          </m:d>
          <m:r>
            <m:rPr>
              <m:sty m:val="p"/>
            </m:rPr>
            <m:t>.</m:t>
          </m:r>
        </m:oMath>
      </m:oMathPara>
    </w:p>
    <w:p>
      <w:pPr>
        <w:pStyle w:val="FirstParagraph"/>
      </w:pPr>
      <w:r>
        <w:t xml:space="preserve">The exact address function, line selection, arithmetic, and state width are frozen by PARAM-02.</w:t>
      </w:r>
    </w:p>
    <w:bookmarkEnd w:id="35"/>
    <w:bookmarkStart w:id="39" w:name="serial-tail"/>
    <w:p>
      <w:pPr>
        <w:pStyle w:val="Heading3"/>
      </w:pPr>
      <w:r>
        <w:t xml:space="preserve">4.3 Serial tail</w:t>
      </w:r>
    </w:p>
    <w:p>
      <w:pPr>
        <w:pStyle w:val="FirstParagraph"/>
      </w:pPr>
      <w:r>
        <w:t xml:space="preserve">After the mix pass, BitFP applies 64 serial data-dependent tail accesses. Let</w:t>
      </w:r>
      <w:r>
        <w:t xml:space="preserve"> </w:t>
      </w:r>
      <m:oMath>
        <m:sSub>
          <m:e>
            <m:r>
              <m:t>r</m:t>
            </m:r>
          </m:e>
          <m:sub>
            <m:r>
              <m:t>0</m:t>
            </m:r>
          </m:sub>
        </m:sSub>
      </m:oMath>
      <w:r>
        <w:t xml:space="preserve"> </w:t>
      </w:r>
      <w:r>
        <w:t xml:space="preserve">be the post-mix state. For</w:t>
      </w:r>
      <w:r>
        <w:t xml:space="preserve"> </w:t>
      </w:r>
      <m:oMath>
        <m:r>
          <m:t>j</m:t>
        </m:r>
        <m:r>
          <m:rPr>
            <m:sty m:val="p"/>
          </m:rPr>
          <m:t>=</m:t>
        </m:r>
        <m:r>
          <m:t>0</m:t>
        </m:r>
        <m:r>
          <m:rPr>
            <m:sty m:val="p"/>
          </m:rPr>
          <m:t>,</m:t>
        </m:r>
        <m:r>
          <m:rPr>
            <m:sty m:val="p"/>
          </m:rPr>
          <m:t>…</m:t>
        </m:r>
        <m:r>
          <m:rPr>
            <m:sty m:val="p"/>
          </m:rPr>
          <m:t>,</m:t>
        </m:r>
        <m:r>
          <m:t>63</m:t>
        </m:r>
      </m:oMath>
      <w:r>
        <w:t xml:space="preserve">,</w:t>
      </w:r>
    </w:p>
    <w:p>
      <w:pPr>
        <w:pStyle w:val="BodyText"/>
      </w:pPr>
      <m:oMathPara>
        <m:oMathParaPr>
          <m:jc m:val="center"/>
        </m:oMathParaPr>
        <m:oMath>
          <m:sSub>
            <m:e>
              <m:r>
                <m:t>α</m:t>
              </m:r>
            </m:e>
            <m:sub>
              <m:r>
                <m:t>j</m:t>
              </m:r>
            </m:sub>
          </m:sSub>
          <m:r>
            <m:rPr>
              <m:sty m:val="p"/>
            </m:rPr>
            <m:t>=</m:t>
          </m:r>
          <m:r>
            <m:rPr>
              <m:sty m:val="p"/>
            </m:rPr>
            <m:t>T</m:t>
          </m:r>
          <m:r>
            <m:rPr>
              <m:sty m:val="p"/>
            </m:rPr>
            <m:t>a</m:t>
          </m:r>
          <m:r>
            <m:rPr>
              <m:sty m:val="p"/>
            </m:rPr>
            <m:t>i</m:t>
          </m:r>
          <m:r>
            <m:rPr>
              <m:sty m:val="p"/>
            </m:rPr>
            <m:t>l</m:t>
          </m:r>
          <m:r>
            <m:rPr>
              <m:sty m:val="p"/>
            </m:rPr>
            <m:t>A</m:t>
          </m:r>
          <m:r>
            <m:rPr>
              <m:sty m:val="p"/>
            </m:rPr>
            <m:t>d</m:t>
          </m:r>
          <m:r>
            <m:rPr>
              <m:sty m:val="p"/>
            </m:rPr>
            <m:t>d</m:t>
          </m:r>
          <m:r>
            <m:rPr>
              <m:sty m:val="p"/>
            </m:rPr>
            <m:t>r</m:t>
          </m:r>
          <m:d>
            <m:dPr>
              <m:begChr m:val="("/>
              <m:endChr m:val=")"/>
              <m:sepChr m:val=""/>
              <m:grow/>
            </m:dPr>
            <m:e>
              <m:sSub>
                <m:e>
                  <m:r>
                    <m:t>r</m:t>
                  </m:r>
                </m:e>
                <m:sub>
                  <m:r>
                    <m:t>j</m:t>
                  </m:r>
                </m:sub>
              </m:sSub>
              <m:r>
                <m:rPr>
                  <m:sty m:val="p"/>
                </m:rPr>
                <m:t>,</m:t>
              </m:r>
              <m:r>
                <m:t>j</m:t>
              </m:r>
            </m:e>
          </m:d>
          <m:r>
            <m:t> </m:t>
          </m:r>
          <m:r>
            <m:rPr>
              <m:sty m:val="p"/>
            </m:rPr>
            <m:t>mod</m:t>
          </m:r>
          <m:r>
            <m:t> </m:t>
          </m:r>
          <m:sSub>
            <m:e>
              <m:r>
                <m:t>N</m:t>
              </m:r>
            </m:e>
            <m:sub>
              <m:r>
                <m:rPr>
                  <m:sty m:val="p"/>
                </m:rPr>
                <m:t>l</m:t>
              </m:r>
              <m:r>
                <m:rPr>
                  <m:sty m:val="p"/>
                </m:rPr>
                <m:t>i</m:t>
              </m:r>
              <m:r>
                <m:rPr>
                  <m:sty m:val="p"/>
                </m:rPr>
                <m:t>n</m:t>
              </m:r>
              <m:r>
                <m:rPr>
                  <m:sty m:val="p"/>
                </m:rPr>
                <m:t>e</m:t>
              </m:r>
              <m:r>
                <m:rPr>
                  <m:sty m:val="p"/>
                </m:rPr>
                <m:t>s</m:t>
              </m:r>
            </m:sub>
          </m:sSub>
          <m:r>
            <m:rPr>
              <m:sty m:val="p"/>
            </m:rPr>
            <m:t>,</m:t>
          </m:r>
        </m:oMath>
      </m:oMathPara>
    </w:p>
    <w:p>
      <w:pPr>
        <w:pStyle w:val="FirstParagraph"/>
      </w:pPr>
      <m:oMathPara>
        <m:oMathParaPr>
          <m:jc m:val="center"/>
        </m:oMathParaPr>
        <m:oMath>
          <m:sSub>
            <m:e>
              <m:r>
                <m:t>d</m:t>
              </m:r>
            </m:e>
            <m:sub>
              <m:r>
                <m:t>j</m:t>
              </m:r>
            </m:sub>
          </m:sSub>
          <m:r>
            <m:rPr>
              <m:sty m:val="p"/>
            </m:rPr>
            <m:t>=</m:t>
          </m:r>
          <m:sSub>
            <m:e>
              <m:r>
                <m:t>D</m:t>
              </m:r>
            </m:e>
            <m:sub>
              <m:r>
                <m:t>e</m:t>
              </m:r>
            </m:sub>
          </m:sSub>
          <m:d>
            <m:dPr>
              <m:begChr m:val="["/>
              <m:endChr m:val="]"/>
              <m:sepChr m:val=""/>
              <m:grow/>
            </m:dPr>
            <m:e>
              <m:sSub>
                <m:e>
                  <m:r>
                    <m:t>α</m:t>
                  </m:r>
                </m:e>
                <m:sub>
                  <m:r>
                    <m:t>j</m:t>
                  </m:r>
                </m:sub>
              </m:sSub>
            </m:e>
          </m:d>
          <m:r>
            <m:rPr>
              <m:sty m:val="p"/>
            </m:rPr>
            <m:t>,</m:t>
          </m:r>
        </m:oMath>
      </m:oMathPara>
    </w:p>
    <w:p>
      <w:pPr>
        <w:pStyle w:val="FirstParagraph"/>
      </w:pPr>
      <m:oMathPara>
        <m:oMathParaPr>
          <m:jc m:val="center"/>
        </m:oMathParaPr>
        <m:oMath>
          <m:sSub>
            <m:e>
              <m:r>
                <m:t>r</m:t>
              </m:r>
            </m:e>
            <m:sub>
              <m:r>
                <m:t>j</m:t>
              </m:r>
              <m:r>
                <m:rPr>
                  <m:sty m:val="p"/>
                </m:rPr>
                <m:t>+</m:t>
              </m:r>
              <m:r>
                <m:t>1</m:t>
              </m:r>
            </m:sub>
          </m:sSub>
          <m:r>
            <m:rPr>
              <m:sty m:val="p"/>
            </m:rPr>
            <m:t>=</m:t>
          </m:r>
          <m:r>
            <m:rPr>
              <m:sty m:val="p"/>
            </m:rPr>
            <m:t>T</m:t>
          </m:r>
          <m:r>
            <m:rPr>
              <m:sty m:val="p"/>
            </m:rPr>
            <m:t>a</m:t>
          </m:r>
          <m:r>
            <m:rPr>
              <m:sty m:val="p"/>
            </m:rPr>
            <m:t>i</m:t>
          </m:r>
          <m:r>
            <m:rPr>
              <m:sty m:val="p"/>
            </m:rPr>
            <m:t>l</m:t>
          </m:r>
          <m:r>
            <m:rPr>
              <m:sty m:val="p"/>
            </m:rPr>
            <m:t>S</m:t>
          </m:r>
          <m:r>
            <m:rPr>
              <m:sty m:val="p"/>
            </m:rPr>
            <m:t>t</m:t>
          </m:r>
          <m:r>
            <m:rPr>
              <m:sty m:val="p"/>
            </m:rPr>
            <m:t>e</m:t>
          </m:r>
          <m:r>
            <m:rPr>
              <m:sty m:val="p"/>
            </m:rPr>
            <m:t>p</m:t>
          </m:r>
          <m:d>
            <m:dPr>
              <m:begChr m:val="("/>
              <m:endChr m:val=")"/>
              <m:sepChr m:val=""/>
              <m:grow/>
            </m:dPr>
            <m:e>
              <m:sSub>
                <m:e>
                  <m:r>
                    <m:t>r</m:t>
                  </m:r>
                </m:e>
                <m:sub>
                  <m:r>
                    <m:t>j</m:t>
                  </m:r>
                </m:sub>
              </m:sSub>
              <m:r>
                <m:rPr>
                  <m:sty m:val="p"/>
                </m:rPr>
                <m:t>,</m:t>
              </m:r>
              <m:sSub>
                <m:e>
                  <m:r>
                    <m:t>d</m:t>
                  </m:r>
                </m:e>
                <m:sub>
                  <m:r>
                    <m:t>j</m:t>
                  </m:r>
                </m:sub>
              </m:sSub>
              <m:r>
                <m:rPr>
                  <m:sty m:val="p"/>
                </m:rPr>
                <m:t>,</m:t>
              </m:r>
              <m:r>
                <m:t>j</m:t>
              </m:r>
            </m:e>
          </m:d>
          <m:r>
            <m:rPr>
              <m:sty m:val="p"/>
            </m:rPr>
            <m:t>.</m:t>
          </m:r>
        </m:oMath>
      </m:oMathPara>
    </w:p>
    <w:p>
      <w:pPr>
        <w:pStyle w:val="FirstParagraph"/>
      </w:pPr>
      <w:r>
        <w:t xml:space="preserve">The next address depends on the preceding state. Therefore all 64 tail addresses cannot be known before the earlier states have been computed. The final 512-bit work score is</w:t>
      </w:r>
    </w:p>
    <w:p>
      <w:pPr>
        <w:pStyle w:val="BodyText"/>
      </w:pPr>
      <m:oMathPara>
        <m:oMathParaPr>
          <m:jc m:val="center"/>
        </m:oMathParaPr>
        <m:oMath>
          <m:r>
            <m:t>Y</m:t>
          </m:r>
          <m:r>
            <m:rPr>
              <m:sty m:val="p"/>
            </m:rPr>
            <m:t>=</m:t>
          </m:r>
          <m:r>
            <m:rPr>
              <m:sty m:val="p"/>
            </m:rPr>
            <m:t>S</m:t>
          </m:r>
          <m:r>
            <m:rPr>
              <m:sty m:val="p"/>
            </m:rPr>
            <m:t>c</m:t>
          </m:r>
          <m:r>
            <m:rPr>
              <m:sty m:val="p"/>
            </m:rPr>
            <m:t>o</m:t>
          </m:r>
          <m:r>
            <m:rPr>
              <m:sty m:val="p"/>
            </m:rPr>
            <m:t>r</m:t>
          </m:r>
          <m:r>
            <m:rPr>
              <m:sty m:val="p"/>
            </m:rPr>
            <m:t>e</m:t>
          </m:r>
          <m:d>
            <m:dPr>
              <m:begChr m:val="("/>
              <m:endChr m:val=")"/>
              <m:sepChr m:val=""/>
              <m:grow/>
            </m:dPr>
            <m:e>
              <m:sSub>
                <m:e>
                  <m:r>
                    <m:t>r</m:t>
                  </m:r>
                </m:e>
                <m:sub>
                  <m:r>
                    <m:t>64</m:t>
                  </m:r>
                </m:sub>
              </m:sSub>
              <m:r>
                <m:rPr>
                  <m:sty m:val="p"/>
                </m:rPr>
                <m:t>,</m:t>
              </m:r>
              <m:r>
                <m:rPr>
                  <m:sty m:val="p"/>
                </m:rPr>
                <m:t>b</m:t>
              </m:r>
              <m:r>
                <m:rPr>
                  <m:sty m:val="p"/>
                </m:rPr>
                <m:t>l</m:t>
              </m:r>
              <m:r>
                <m:rPr>
                  <m:sty m:val="p"/>
                </m:rPr>
                <m:t>o</m:t>
              </m:r>
              <m:r>
                <m:rPr>
                  <m:sty m:val="p"/>
                </m:rPr>
                <m:t>c</m:t>
              </m:r>
              <m:r>
                <m:rPr>
                  <m:sty m:val="p"/>
                </m:rPr>
                <m:t>k</m:t>
              </m:r>
              <m:r>
                <m:rPr>
                  <m:sty m:val="p"/>
                </m:rPr>
                <m:t>_</m:t>
              </m:r>
              <m:r>
                <m:rPr>
                  <m:sty m:val="p"/>
                </m:rPr>
                <m:t>c</m:t>
              </m:r>
              <m:r>
                <m:rPr>
                  <m:sty m:val="p"/>
                </m:rPr>
                <m:t>o</m:t>
              </m:r>
              <m:r>
                <m:rPr>
                  <m:sty m:val="p"/>
                </m:rPr>
                <m:t>n</m:t>
              </m:r>
              <m:r>
                <m:rPr>
                  <m:sty m:val="p"/>
                </m:rPr>
                <m:t>t</m:t>
              </m:r>
              <m:r>
                <m:rPr>
                  <m:sty m:val="p"/>
                </m:rPr>
                <m:t>e</m:t>
              </m:r>
              <m:r>
                <m:rPr>
                  <m:sty m:val="p"/>
                </m:rPr>
                <m:t>x</m:t>
              </m:r>
              <m:r>
                <m:rPr>
                  <m:sty m:val="p"/>
                </m:rPr>
                <m:t>t</m:t>
              </m:r>
            </m:e>
          </m:d>
          <m:r>
            <m:rPr>
              <m:sty m:val="p"/>
            </m:rPr>
            <m:t>∈</m:t>
          </m:r>
          <m:r>
            <m:rPr>
              <m:sty m:val="p"/>
            </m:rPr>
            <m:t>{</m:t>
          </m:r>
          <m:r>
            <m:t>0</m:t>
          </m:r>
          <m:r>
            <m:rPr>
              <m:sty m:val="p"/>
            </m:rPr>
            <m:t>,</m:t>
          </m:r>
          <m:r>
            <m:rPr>
              <m:sty m:val="p"/>
            </m:rPr>
            <m:t>…</m:t>
          </m:r>
          <m:r>
            <m:rPr>
              <m:sty m:val="p"/>
            </m:rPr>
            <m:t>,</m:t>
          </m:r>
          <m:sSup>
            <m:e>
              <m:r>
                <m:t>2</m:t>
              </m:r>
            </m:e>
            <m:sup>
              <m:r>
                <m:t>512</m:t>
              </m:r>
            </m:sup>
          </m:sSup>
          <m:r>
            <m:rPr>
              <m:sty m:val="p"/>
            </m:rPr>
            <m:t>−</m:t>
          </m:r>
          <m:r>
            <m:t>1</m:t>
          </m:r>
          <m:r>
            <m:rPr>
              <m:sty m:val="p"/>
            </m:rPr>
            <m:t>}</m:t>
          </m:r>
          <m:r>
            <m:rPr>
              <m:sty m:val="p"/>
            </m:rPr>
            <m:t>.</m:t>
          </m:r>
        </m:oMath>
      </m:oMathPara>
    </w:p>
    <w:p>
      <w:pPr>
        <w:pStyle w:val="FirstParagraph"/>
      </w:pPr>
      <w:r>
        <w:drawing>
          <wp:inline>
            <wp:extent cx="5334000" cy="2074333"/>
            <wp:effectExtent b="0" l="0" r="0" t="0"/>
            <wp:docPr descr="" title="" id="37" name="Picture"/>
            <a:graphic>
              <a:graphicData uri="http://schemas.openxmlformats.org/drawingml/2006/picture">
                <pic:pic>
                  <pic:nvPicPr>
                    <pic:cNvPr descr="figures/pow_flow.png" id="38" name="Picture"/>
                    <pic:cNvPicPr>
                      <a:picLocks noChangeArrowheads="1" noChangeAspect="1"/>
                    </pic:cNvPicPr>
                  </pic:nvPicPr>
                  <pic:blipFill>
                    <a:blip r:embed="rId36"/>
                    <a:stretch>
                      <a:fillRect/>
                    </a:stretch>
                  </pic:blipFill>
                  <pic:spPr bwMode="auto">
                    <a:xfrm>
                      <a:off x="0" y="0"/>
                      <a:ext cx="5334000" cy="2074333"/>
                    </a:xfrm>
                    <a:prstGeom prst="rect">
                      <a:avLst/>
                    </a:prstGeom>
                    <a:noFill/>
                    <a:ln w="9525">
                      <a:noFill/>
                      <a:headEnd/>
                      <a:tailEnd/>
                    </a:ln>
                  </pic:spPr>
                </pic:pic>
              </a:graphicData>
            </a:graphic>
          </wp:inline>
        </w:drawing>
      </w:r>
    </w:p>
    <w:p>
      <w:pPr>
        <w:pStyle w:val="BodyText"/>
      </w:pPr>
      <w:r>
        <w:rPr>
          <w:b/>
          <w:bCs/>
        </w:rPr>
        <w:t xml:space="preserve">Figure 2.</w:t>
      </w:r>
      <w:r>
        <w:t xml:space="preserve"> </w:t>
      </w:r>
      <w:r>
        <w:t xml:space="preserve">The conceptual dependency graph of one attempt. The dataset is shared and canonical; scratchpad state is private per worker; the serial tail creates sequential address dependence.</w:t>
      </w:r>
    </w:p>
    <w:bookmarkEnd w:id="39"/>
    <w:bookmarkStart w:id="40" w:name="block-and-receipt-thresholds"/>
    <w:p>
      <w:pPr>
        <w:pStyle w:val="Heading3"/>
      </w:pPr>
      <w:r>
        <w:t xml:space="preserve">4.4 Block and receipt thresholds</w:t>
      </w:r>
    </w:p>
    <w:p>
      <w:pPr>
        <w:pStyle w:val="FirstParagraph"/>
      </w:pPr>
      <w:r>
        <w:t xml:space="preserve">A block-winning attempt satisfies</w:t>
      </w:r>
    </w:p>
    <w:p>
      <w:pPr>
        <w:pStyle w:val="BodyText"/>
      </w:pPr>
      <m:oMathPara>
        <m:oMathParaPr>
          <m:jc m:val="center"/>
        </m:oMathParaPr>
        <m:oMath>
          <m:r>
            <m:t>Y</m:t>
          </m:r>
          <m:r>
            <m:rPr>
              <m:sty m:val="p"/>
            </m:rPr>
            <m:t>≤</m:t>
          </m:r>
          <m:sSub>
            <m:e>
              <m:r>
                <m:t>T</m:t>
              </m:r>
            </m:e>
            <m:sub>
              <m:r>
                <m:t>b</m:t>
              </m:r>
            </m:sub>
          </m:sSub>
          <m:d>
            <m:dPr>
              <m:begChr m:val="("/>
              <m:endChr m:val=")"/>
              <m:sepChr m:val=""/>
              <m:grow/>
            </m:dPr>
            <m:e>
              <m:r>
                <m:t>h</m:t>
              </m:r>
            </m:e>
          </m:d>
          <m:r>
            <m:rPr>
              <m:sty m:val="p"/>
            </m:rPr>
            <m:t>.</m:t>
          </m:r>
        </m:oMath>
      </m:oMathPara>
    </w:p>
    <w:p>
      <w:pPr>
        <w:pStyle w:val="FirstParagraph"/>
      </w:pPr>
      <w:r>
        <w:t xml:space="preserve">If</w:t>
      </w:r>
      <w:r>
        <w:t xml:space="preserve"> </w:t>
      </w:r>
      <m:oMath>
        <m:r>
          <m:t>Y</m:t>
        </m:r>
      </m:oMath>
      <w:r>
        <w:t xml:space="preserve"> </w:t>
      </w:r>
      <w:r>
        <w:t xml:space="preserve">is modeled as uniform over the 512-bit score space, the block-success probability per attempt is</w:t>
      </w:r>
    </w:p>
    <w:p>
      <w:pPr>
        <w:pStyle w:val="BodyText"/>
      </w:pPr>
      <m:oMathPara>
        <m:oMathParaPr>
          <m:jc m:val="center"/>
        </m:oMathParaPr>
        <m:oMath>
          <m:sSub>
            <m:e>
              <m:r>
                <m:t>p</m:t>
              </m:r>
            </m:e>
            <m:sub>
              <m:r>
                <m:t>b</m:t>
              </m:r>
            </m:sub>
          </m:sSub>
          <m:d>
            <m:dPr>
              <m:begChr m:val="("/>
              <m:endChr m:val=")"/>
              <m:sepChr m:val=""/>
              <m:grow/>
            </m:dPr>
            <m:e>
              <m:r>
                <m:t>h</m:t>
              </m:r>
            </m:e>
          </m:d>
          <m:r>
            <m:rPr>
              <m:sty m:val="p"/>
            </m:rPr>
            <m:t>=</m:t>
          </m:r>
          <m:f>
            <m:fPr>
              <m:type m:val="bar"/>
            </m:fPr>
            <m:num>
              <m:sSub>
                <m:e>
                  <m:r>
                    <m:t>T</m:t>
                  </m:r>
                </m:e>
                <m:sub>
                  <m:r>
                    <m:t>b</m:t>
                  </m:r>
                </m:sub>
              </m:sSub>
              <m:d>
                <m:dPr>
                  <m:begChr m:val="("/>
                  <m:endChr m:val=")"/>
                  <m:sepChr m:val=""/>
                  <m:grow/>
                </m:dPr>
                <m:e>
                  <m:r>
                    <m:t>h</m:t>
                  </m:r>
                </m:e>
              </m:d>
              <m:r>
                <m:rPr>
                  <m:sty m:val="p"/>
                </m:rPr>
                <m:t>+</m:t>
              </m:r>
              <m:r>
                <m:t>1</m:t>
              </m:r>
            </m:num>
            <m:den>
              <m:sSup>
                <m:e>
                  <m:r>
                    <m:t>2</m:t>
                  </m:r>
                </m:e>
                <m:sup>
                  <m:r>
                    <m:t>512</m:t>
                  </m:r>
                </m:sup>
              </m:sSup>
            </m:den>
          </m:f>
          <m:r>
            <m:rPr>
              <m:sty m:val="p"/>
            </m:rPr>
            <m:t>.</m:t>
          </m:r>
        </m:oMath>
      </m:oMathPara>
    </w:p>
    <w:p>
      <w:pPr>
        <w:pStyle w:val="FirstParagraph"/>
      </w:pPr>
      <w:r>
        <w:t xml:space="preserve">BitFP defines a coupled receipt span</w:t>
      </w:r>
    </w:p>
    <w:p>
      <w:pPr>
        <w:pStyle w:val="BodyText"/>
      </w:pPr>
      <m:oMathPara>
        <m:oMathParaPr>
          <m:jc m:val="center"/>
        </m:oMathParaPr>
        <m:oMath>
          <m:sSub>
            <m:e>
              <m:r>
                <m:t>S</m:t>
              </m:r>
            </m:e>
            <m:sub>
              <m:r>
                <m:t>r</m:t>
              </m:r>
            </m:sub>
          </m:sSub>
          <m:d>
            <m:dPr>
              <m:begChr m:val="("/>
              <m:endChr m:val=")"/>
              <m:sepChr m:val=""/>
              <m:grow/>
            </m:dPr>
            <m:e>
              <m:r>
                <m:t>h</m:t>
              </m:r>
            </m:e>
          </m:d>
          <m:r>
            <m:rPr>
              <m:sty m:val="p"/>
            </m:rPr>
            <m:t>=</m:t>
          </m:r>
          <m:r>
            <m:rPr>
              <m:sty m:val="p"/>
            </m:rPr>
            <m:t>min</m:t>
          </m:r>
          <m:d>
            <m:dPr>
              <m:begChr m:val="("/>
              <m:endChr m:val=")"/>
              <m:sepChr m:val=""/>
              <m:grow/>
            </m:dPr>
            <m:e>
              <m:sSup>
                <m:e>
                  <m:r>
                    <m:t>2</m:t>
                  </m:r>
                </m:e>
                <m:sup>
                  <m:r>
                    <m:t>512</m:t>
                  </m:r>
                </m:sup>
              </m:sSup>
              <m:r>
                <m:rPr>
                  <m:sty m:val="p"/>
                </m:rPr>
                <m:t>,</m:t>
              </m:r>
              <m:r>
                <m:t> </m:t>
              </m:r>
              <m:r>
                <m:t>38</m:t>
              </m:r>
              <m:r>
                <m:rPr>
                  <m:sty m:val="p"/>
                </m:rPr>
                <m:t>,</m:t>
              </m:r>
              <m:r>
                <m:t>400</m:t>
              </m:r>
              <m:r>
                <m:t> </m:t>
              </m:r>
              <m:d>
                <m:dPr>
                  <m:begChr m:val="["/>
                  <m:endChr m:val="]"/>
                  <m:sepChr m:val=""/>
                  <m:grow/>
                </m:dPr>
                <m:e>
                  <m:sSub>
                    <m:e>
                      <m:r>
                        <m:t>T</m:t>
                      </m:r>
                    </m:e>
                    <m:sub>
                      <m:r>
                        <m:t>b</m:t>
                      </m:r>
                    </m:sub>
                  </m:sSub>
                  <m:d>
                    <m:dPr>
                      <m:begChr m:val="("/>
                      <m:endChr m:val=")"/>
                      <m:sepChr m:val=""/>
                      <m:grow/>
                    </m:dPr>
                    <m:e>
                      <m:r>
                        <m:t>h</m:t>
                      </m:r>
                    </m:e>
                  </m:d>
                  <m:r>
                    <m:rPr>
                      <m:sty m:val="p"/>
                    </m:rPr>
                    <m:t>+</m:t>
                  </m:r>
                  <m:r>
                    <m:t>1</m:t>
                  </m:r>
                </m:e>
              </m:d>
            </m:e>
          </m:d>
          <m:r>
            <m:rPr>
              <m:sty m:val="p"/>
            </m:rPr>
            <m:t>,</m:t>
          </m:r>
        </m:oMath>
      </m:oMathPara>
    </w:p>
    <w:p>
      <w:pPr>
        <w:pStyle w:val="FirstParagraph"/>
      </w:pPr>
      <w:r>
        <w:t xml:space="preserve">and receipt target</w:t>
      </w:r>
    </w:p>
    <w:p>
      <w:pPr>
        <w:pStyle w:val="BodyText"/>
      </w:pPr>
      <m:oMathPara>
        <m:oMathParaPr>
          <m:jc m:val="center"/>
        </m:oMathParaPr>
        <m:oMath>
          <m:sSub>
            <m:e>
              <m:r>
                <m:t>T</m:t>
              </m:r>
            </m:e>
            <m:sub>
              <m:r>
                <m:t>r</m:t>
              </m:r>
            </m:sub>
          </m:sSub>
          <m:d>
            <m:dPr>
              <m:begChr m:val="("/>
              <m:endChr m:val=")"/>
              <m:sepChr m:val=""/>
              <m:grow/>
            </m:dPr>
            <m:e>
              <m:r>
                <m:t>h</m:t>
              </m:r>
            </m:e>
          </m:d>
          <m:r>
            <m:rPr>
              <m:sty m:val="p"/>
            </m:rPr>
            <m:t>=</m:t>
          </m:r>
          <m:sSub>
            <m:e>
              <m:r>
                <m:t>S</m:t>
              </m:r>
            </m:e>
            <m:sub>
              <m:r>
                <m:t>r</m:t>
              </m:r>
            </m:sub>
          </m:sSub>
          <m:d>
            <m:dPr>
              <m:begChr m:val="("/>
              <m:endChr m:val=")"/>
              <m:sepChr m:val=""/>
              <m:grow/>
            </m:dPr>
            <m:e>
              <m:r>
                <m:t>h</m:t>
              </m:r>
            </m:e>
          </m:d>
          <m:r>
            <m:rPr>
              <m:sty m:val="p"/>
            </m:rPr>
            <m:t>−</m:t>
          </m:r>
          <m:r>
            <m:t>1</m:t>
          </m:r>
          <m:r>
            <m:rPr>
              <m:sty m:val="p"/>
            </m:rPr>
            <m:t>.</m:t>
          </m:r>
        </m:oMath>
      </m:oMathPara>
    </w:p>
    <w:p>
      <w:pPr>
        <w:pStyle w:val="FirstParagraph"/>
      </w:pPr>
      <w:r>
        <w:t xml:space="preserve">Hence</w:t>
      </w:r>
    </w:p>
    <w:p>
      <w:pPr>
        <w:pStyle w:val="BodyText"/>
      </w:pPr>
      <m:oMathPara>
        <m:oMathParaPr>
          <m:jc m:val="center"/>
        </m:oMathParaPr>
        <m:oMath>
          <m:sSub>
            <m:e>
              <m:r>
                <m:t>p</m:t>
              </m:r>
            </m:e>
            <m:sub>
              <m:r>
                <m:t>r</m:t>
              </m:r>
            </m:sub>
          </m:sSub>
          <m:d>
            <m:dPr>
              <m:begChr m:val="("/>
              <m:endChr m:val=")"/>
              <m:sepChr m:val=""/>
              <m:grow/>
            </m:dPr>
            <m:e>
              <m:r>
                <m:t>h</m:t>
              </m:r>
            </m:e>
          </m:d>
          <m:r>
            <m:rPr>
              <m:sty m:val="p"/>
            </m:rPr>
            <m:t>=</m:t>
          </m:r>
          <m:f>
            <m:fPr>
              <m:type m:val="bar"/>
            </m:fPr>
            <m:num>
              <m:sSub>
                <m:e>
                  <m:r>
                    <m:t>T</m:t>
                  </m:r>
                </m:e>
                <m:sub>
                  <m:r>
                    <m:t>r</m:t>
                  </m:r>
                </m:sub>
              </m:sSub>
              <m:d>
                <m:dPr>
                  <m:begChr m:val="("/>
                  <m:endChr m:val=")"/>
                  <m:sepChr m:val=""/>
                  <m:grow/>
                </m:dPr>
                <m:e>
                  <m:r>
                    <m:t>h</m:t>
                  </m:r>
                </m:e>
              </m:d>
              <m:r>
                <m:rPr>
                  <m:sty m:val="p"/>
                </m:rPr>
                <m:t>+</m:t>
              </m:r>
              <m:r>
                <m:t>1</m:t>
              </m:r>
            </m:num>
            <m:den>
              <m:sSup>
                <m:e>
                  <m:r>
                    <m:t>2</m:t>
                  </m:r>
                </m:e>
                <m:sup>
                  <m:r>
                    <m:t>512</m:t>
                  </m:r>
                </m:sup>
              </m:sSup>
            </m:den>
          </m:f>
          <m:r>
            <m:rPr>
              <m:sty m:val="p"/>
            </m:rPr>
            <m:t>=</m:t>
          </m:r>
          <m:r>
            <m:rPr>
              <m:sty m:val="p"/>
            </m:rPr>
            <m:t>min</m:t>
          </m:r>
          <m:d>
            <m:dPr>
              <m:begChr m:val="("/>
              <m:endChr m:val=")"/>
              <m:sepChr m:val=""/>
              <m:grow/>
            </m:dPr>
            <m:e>
              <m:r>
                <m:t>1</m:t>
              </m:r>
              <m:r>
                <m:rPr>
                  <m:sty m:val="p"/>
                </m:rPr>
                <m:t>,</m:t>
              </m:r>
              <m:r>
                <m:t> </m:t>
              </m:r>
              <m:r>
                <m:t>38</m:t>
              </m:r>
              <m:r>
                <m:rPr>
                  <m:sty m:val="p"/>
                </m:rPr>
                <m:t>,</m:t>
              </m:r>
              <m:r>
                <m:t>400</m:t>
              </m:r>
              <m:r>
                <m:t> </m:t>
              </m:r>
              <m:sSub>
                <m:e>
                  <m:r>
                    <m:t>p</m:t>
                  </m:r>
                </m:e>
                <m:sub>
                  <m:r>
                    <m:t>b</m:t>
                  </m:r>
                </m:sub>
              </m:sSub>
              <m:d>
                <m:dPr>
                  <m:begChr m:val="("/>
                  <m:endChr m:val=")"/>
                  <m:sepChr m:val=""/>
                  <m:grow/>
                </m:dPr>
                <m:e>
                  <m:r>
                    <m:t>h</m:t>
                  </m:r>
                </m:e>
              </m:d>
            </m:e>
          </m:d>
          <m:r>
            <m:rPr>
              <m:sty m:val="p"/>
            </m:rPr>
            <m:t>.</m:t>
          </m:r>
        </m:oMath>
      </m:oMathPara>
    </w:p>
    <w:p>
      <w:pPr>
        <w:pStyle w:val="FirstParagraph"/>
      </w:pPr>
      <w:r>
        <w:t xml:space="preserve">Before saturation,</w:t>
      </w:r>
    </w:p>
    <w:p>
      <w:pPr>
        <w:pStyle w:val="BodyText"/>
      </w:pPr>
      <m:oMathPara>
        <m:oMathParaPr>
          <m:jc m:val="center"/>
        </m:oMathParaPr>
        <m:oMath>
          <m:f>
            <m:fPr>
              <m:type m:val="bar"/>
            </m:fPr>
            <m:num>
              <m:sSub>
                <m:e>
                  <m:r>
                    <m:t>p</m:t>
                  </m:r>
                </m:e>
                <m:sub>
                  <m:r>
                    <m:t>r</m:t>
                  </m:r>
                </m:sub>
              </m:sSub>
              <m:d>
                <m:dPr>
                  <m:begChr m:val="("/>
                  <m:endChr m:val=")"/>
                  <m:sepChr m:val=""/>
                  <m:grow/>
                </m:dPr>
                <m:e>
                  <m:r>
                    <m:t>h</m:t>
                  </m:r>
                </m:e>
              </m:d>
            </m:num>
            <m:den>
              <m:sSub>
                <m:e>
                  <m:r>
                    <m:t>p</m:t>
                  </m:r>
                </m:e>
                <m:sub>
                  <m:r>
                    <m:t>b</m:t>
                  </m:r>
                </m:sub>
              </m:sSub>
              <m:d>
                <m:dPr>
                  <m:begChr m:val="("/>
                  <m:endChr m:val=")"/>
                  <m:sepChr m:val=""/>
                  <m:grow/>
                </m:dPr>
                <m:e>
                  <m:r>
                    <m:t>h</m:t>
                  </m:r>
                </m:e>
              </m:d>
            </m:den>
          </m:f>
          <m:r>
            <m:rPr>
              <m:sty m:val="p"/>
            </m:rPr>
            <m:t>=</m:t>
          </m:r>
          <m:r>
            <m:t>38</m:t>
          </m:r>
          <m:r>
            <m:rPr>
              <m:sty m:val="p"/>
            </m:rPr>
            <m:t>,</m:t>
          </m:r>
          <m:r>
            <m:t>400</m:t>
          </m:r>
          <m:r>
            <m:rPr>
              <m:sty m:val="p"/>
            </m:rPr>
            <m:t>.</m:t>
          </m:r>
        </m:oMath>
      </m:oMathPara>
    </w:p>
    <w:p>
      <w:pPr>
        <w:pStyle w:val="FirstParagraph"/>
      </w:pPr>
      <w:r>
        <w:t xml:space="preserve">Since the target block interval is 600 seconds, the design ratio corresponds to</w:t>
      </w:r>
    </w:p>
    <w:p>
      <w:pPr>
        <w:pStyle w:val="BodyText"/>
      </w:pPr>
      <m:oMathPara>
        <m:oMathParaPr>
          <m:jc m:val="center"/>
        </m:oMathParaPr>
        <m:oMath>
          <m:f>
            <m:fPr>
              <m:type m:val="bar"/>
            </m:fPr>
            <m:num>
              <m:r>
                <m:t>38</m:t>
              </m:r>
              <m:r>
                <m:rPr>
                  <m:sty m:val="p"/>
                </m:rPr>
                <m:t>,</m:t>
              </m:r>
              <m:r>
                <m:t>400</m:t>
              </m:r>
            </m:num>
            <m:den>
              <m:r>
                <m:t>600</m:t>
              </m:r>
            </m:den>
          </m:f>
          <m:r>
            <m:rPr>
              <m:sty m:val="p"/>
            </m:rPr>
            <m:t>=</m:t>
          </m:r>
          <m:r>
            <m:t>64</m:t>
          </m:r>
        </m:oMath>
      </m:oMathPara>
    </w:p>
    <w:p>
      <w:pPr>
        <w:pStyle w:val="FirstParagraph"/>
      </w:pPr>
      <w:r>
        <w:t xml:space="preserve">receipt-target opportunities per second at the network difficulty that yields one expected block per target interval. This is a target ratio; realized receipts remain stochastic.</w:t>
      </w:r>
    </w:p>
    <w:bookmarkEnd w:id="40"/>
    <w:bookmarkStart w:id="41" w:name="anti-asic-anti-specialization-design"/>
    <w:p>
      <w:pPr>
        <w:pStyle w:val="Heading3"/>
      </w:pPr>
      <w:r>
        <w:t xml:space="preserve">4.5 Anti-ASIC / anti-specialization design</w:t>
      </w:r>
    </w:p>
    <w:p>
      <w:pPr>
        <w:pStyle w:val="FirstParagraph"/>
      </w:pPr>
      <w:r>
        <w:t xml:space="preserve">BitFP does not try to make specialized hardware physically impossible. Instead, it changes the cost structure of specialization so that useful work contains several resources that a simple nonce-hashing ASIC cannot collapse into one tiny replicated core. A schematic worker cost is</w:t>
      </w:r>
    </w:p>
    <w:p>
      <w:pPr>
        <w:pStyle w:val="BodyText"/>
      </w:pPr>
      <m:oMathPara>
        <m:oMathParaPr>
          <m:jc m:val="center"/>
        </m:oMathParaPr>
        <m:oMath>
          <m:sSub>
            <m:e>
              <m:r>
                <m:t>C</m:t>
              </m:r>
            </m:e>
            <m:sub>
              <m:r>
                <m:t>w</m:t>
              </m:r>
              <m:r>
                <m:t>o</m:t>
              </m:r>
              <m:r>
                <m:t>r</m:t>
              </m:r>
              <m:r>
                <m:t>k</m:t>
              </m:r>
              <m:r>
                <m:t>e</m:t>
              </m:r>
              <m:r>
                <m:t>r</m:t>
              </m:r>
            </m:sub>
          </m:sSub>
          <m:r>
            <m:rPr>
              <m:sty m:val="p"/>
            </m:rPr>
            <m:t>=</m:t>
          </m:r>
          <m:sSub>
            <m:e>
              <m:r>
                <m:t>C</m:t>
              </m:r>
            </m:e>
            <m:sub>
              <m:r>
                <m:t>d</m:t>
              </m:r>
              <m:r>
                <m:t>a</m:t>
              </m:r>
              <m:r>
                <m:t>t</m:t>
              </m:r>
              <m:r>
                <m:t>a</m:t>
              </m:r>
              <m:r>
                <m:t>s</m:t>
              </m:r>
              <m:r>
                <m:t>e</m:t>
              </m:r>
              <m:r>
                <m:t>t</m:t>
              </m:r>
            </m:sub>
          </m:sSub>
          <m:r>
            <m:rPr>
              <m:sty m:val="p"/>
            </m:rPr>
            <m:t>+</m:t>
          </m:r>
          <m:sSub>
            <m:e>
              <m:r>
                <m:t>C</m:t>
              </m:r>
            </m:e>
            <m:sub>
              <m:r>
                <m:t>s</m:t>
              </m:r>
              <m:r>
                <m:t>c</m:t>
              </m:r>
              <m:r>
                <m:t>r</m:t>
              </m:r>
              <m:r>
                <m:t>a</m:t>
              </m:r>
              <m:r>
                <m:t>t</m:t>
              </m:r>
              <m:r>
                <m:t>c</m:t>
              </m:r>
              <m:r>
                <m:t>h</m:t>
              </m:r>
            </m:sub>
          </m:sSub>
          <m:r>
            <m:rPr>
              <m:sty m:val="p"/>
            </m:rPr>
            <m:t>+</m:t>
          </m:r>
          <m:sSub>
            <m:e>
              <m:r>
                <m:t>C</m:t>
              </m:r>
            </m:e>
            <m:sub>
              <m:r>
                <m:t>m</m:t>
              </m:r>
              <m:r>
                <m:t>i</m:t>
              </m:r>
              <m:r>
                <m:t>x</m:t>
              </m:r>
            </m:sub>
          </m:sSub>
          <m:r>
            <m:rPr>
              <m:sty m:val="p"/>
            </m:rPr>
            <m:t>+</m:t>
          </m:r>
          <m:sSub>
            <m:e>
              <m:r>
                <m:t>C</m:t>
              </m:r>
            </m:e>
            <m:sub>
              <m:r>
                <m:t>s</m:t>
              </m:r>
              <m:r>
                <m:t>e</m:t>
              </m:r>
              <m:r>
                <m:t>r</m:t>
              </m:r>
              <m:r>
                <m:t>i</m:t>
              </m:r>
              <m:r>
                <m:t>a</m:t>
              </m:r>
              <m:r>
                <m:t>l</m:t>
              </m:r>
            </m:sub>
          </m:sSub>
          <m:r>
            <m:rPr>
              <m:sty m:val="p"/>
            </m:rPr>
            <m:t>+</m:t>
          </m:r>
          <m:sSub>
            <m:e>
              <m:r>
                <m:t>C</m:t>
              </m:r>
            </m:e>
            <m:sub>
              <m:r>
                <m:t>h</m:t>
              </m:r>
              <m:r>
                <m:t>a</m:t>
              </m:r>
              <m:r>
                <m:t>s</m:t>
              </m:r>
              <m:r>
                <m:t>h</m:t>
              </m:r>
            </m:sub>
          </m:sSub>
          <m:r>
            <m:rPr>
              <m:sty m:val="p"/>
            </m:rPr>
            <m:t>.</m:t>
          </m:r>
        </m:oMath>
      </m:oMathPara>
    </w:p>
    <w:p>
      <w:pPr>
        <w:pStyle w:val="FirstParagraph"/>
      </w:pPr>
      <w:r>
        <w:t xml:space="preserve">The frozen worker scratchpad is 32 MiB. If</w:t>
      </w:r>
      <w:r>
        <w:t xml:space="preserve"> </w:t>
      </w:r>
      <m:oMath>
        <m:r>
          <m:t>k</m:t>
        </m:r>
      </m:oMath>
      <w:r>
        <w:t xml:space="preserve"> </w:t>
      </w:r>
      <w:r>
        <w:t xml:space="preserve">workers are evaluated truly independently, the intended private-capacity requirement is approximately</w:t>
      </w:r>
    </w:p>
    <w:p>
      <w:pPr>
        <w:pStyle w:val="BodyText"/>
      </w:pPr>
      <m:oMathPara>
        <m:oMathParaPr>
          <m:jc m:val="center"/>
        </m:oMathParaPr>
        <m:oMath>
          <m:sSub>
            <m:e>
              <m:r>
                <m:t>M</m:t>
              </m:r>
            </m:e>
            <m:sub>
              <m:r>
                <m:t>p</m:t>
              </m:r>
              <m:r>
                <m:t>r</m:t>
              </m:r>
              <m:r>
                <m:t>i</m:t>
              </m:r>
              <m:r>
                <m:t>v</m:t>
              </m:r>
              <m:r>
                <m:t>a</m:t>
              </m:r>
              <m:r>
                <m:t>t</m:t>
              </m:r>
              <m:r>
                <m:t>e</m:t>
              </m:r>
            </m:sub>
          </m:sSub>
          <m:d>
            <m:dPr>
              <m:begChr m:val="("/>
              <m:endChr m:val=")"/>
              <m:sepChr m:val=""/>
              <m:grow/>
            </m:dPr>
            <m:e>
              <m:r>
                <m:t>k</m:t>
              </m:r>
            </m:e>
          </m:d>
          <m:r>
            <m:rPr>
              <m:sty m:val="p"/>
            </m:rPr>
            <m:t>≥</m:t>
          </m:r>
          <m:r>
            <m:t>k</m:t>
          </m:r>
          <m:r>
            <m:rPr>
              <m:sty m:val="p"/>
            </m:rPr>
            <m:t>⋅</m:t>
          </m:r>
          <m:r>
            <m:t>32</m:t>
          </m:r>
          <m:r>
            <m:t> </m:t>
          </m:r>
          <m:r>
            <m:rPr>
              <m:sty m:val="p"/>
            </m:rPr>
            <m:t>M</m:t>
          </m:r>
          <m:r>
            <m:rPr>
              <m:sty m:val="p"/>
            </m:rPr>
            <m:t>i</m:t>
          </m:r>
          <m:r>
            <m:rPr>
              <m:sty m:val="p"/>
            </m:rPr>
            <m:t>B</m:t>
          </m:r>
          <m:r>
            <m:rPr>
              <m:sty m:val="p"/>
            </m:rPr>
            <m:t>,</m:t>
          </m:r>
        </m:oMath>
      </m:oMathPara>
    </w:p>
    <w:p>
      <w:pPr>
        <w:pStyle w:val="FirstParagraph"/>
      </w:pPr>
      <w:r>
        <w:t xml:space="preserve">subject to implementation details and any future hardware-specific optimization. This is the concurrency principle tested by the M2/M5 evidence: parallel workers should require distinct private capacity rather than an arbitrarily shared tiny state.</w:t>
      </w:r>
    </w:p>
    <w:p>
      <w:pPr>
        <w:pStyle w:val="BodyText"/>
      </w:pPr>
      <w:r>
        <w:t xml:space="preserve">The 64-access serial tail creates a data dependency</w:t>
      </w:r>
    </w:p>
    <w:p>
      <w:pPr>
        <w:pStyle w:val="BodyText"/>
      </w:pPr>
      <m:oMathPara>
        <m:oMathParaPr>
          <m:jc m:val="center"/>
        </m:oMathParaPr>
        <m:oMath>
          <m:sSub>
            <m:e>
              <m:r>
                <m:t>x</m:t>
              </m:r>
            </m:e>
            <m:sub>
              <m:r>
                <m:t>j</m:t>
              </m:r>
              <m:r>
                <m:rPr>
                  <m:sty m:val="p"/>
                </m:rPr>
                <m:t>+</m:t>
              </m:r>
              <m:r>
                <m:t>1</m:t>
              </m:r>
            </m:sub>
          </m:sSub>
          <m:r>
            <m:rPr>
              <m:sty m:val="p"/>
            </m:rPr>
            <m:t>=</m:t>
          </m:r>
          <m:r>
            <m:t>F</m:t>
          </m:r>
          <m:d>
            <m:dPr>
              <m:begChr m:val="("/>
              <m:endChr m:val=")"/>
              <m:sepChr m:val=""/>
              <m:grow/>
            </m:dPr>
            <m:e>
              <m:sSub>
                <m:e>
                  <m:r>
                    <m:t>x</m:t>
                  </m:r>
                </m:e>
                <m:sub>
                  <m:r>
                    <m:t>j</m:t>
                  </m:r>
                </m:sub>
              </m:sSub>
              <m:r>
                <m:rPr>
                  <m:sty m:val="p"/>
                </m:rPr>
                <m:t>,</m:t>
              </m:r>
              <m:r>
                <m:rPr>
                  <m:sty m:val="p"/>
                </m:rPr>
                <m:t>R</m:t>
              </m:r>
              <m:r>
                <m:rPr>
                  <m:sty m:val="p"/>
                </m:rPr>
                <m:t>e</m:t>
              </m:r>
              <m:r>
                <m:rPr>
                  <m:sty m:val="p"/>
                </m:rPr>
                <m:t>a</m:t>
              </m:r>
              <m:r>
                <m:rPr>
                  <m:sty m:val="p"/>
                </m:rPr>
                <m:t>d</m:t>
              </m:r>
              <m:d>
                <m:dPr>
                  <m:begChr m:val="("/>
                  <m:endChr m:val=")"/>
                  <m:sepChr m:val=""/>
                  <m:grow/>
                </m:dPr>
                <m:e>
                  <m:sSub>
                    <m:e>
                      <m:r>
                        <m:t>a</m:t>
                      </m:r>
                    </m:e>
                    <m:sub>
                      <m:r>
                        <m:t>j</m:t>
                      </m:r>
                    </m:sub>
                  </m:sSub>
                </m:e>
              </m:d>
            </m:e>
          </m:d>
          <m:r>
            <m:rPr>
              <m:sty m:val="p"/>
            </m:rPr>
            <m:t>,</m:t>
          </m:r>
          <m:r>
            <m:t>  </m:t>
          </m:r>
          <m:r>
            <m:t>j</m:t>
          </m:r>
          <m:r>
            <m:rPr>
              <m:sty m:val="p"/>
            </m:rPr>
            <m:t>=</m:t>
          </m:r>
          <m:r>
            <m:t>0</m:t>
          </m:r>
          <m:r>
            <m:rPr>
              <m:sty m:val="p"/>
            </m:rPr>
            <m:t>,</m:t>
          </m:r>
          <m:r>
            <m:rPr>
              <m:sty m:val="p"/>
            </m:rPr>
            <m:t>…</m:t>
          </m:r>
          <m:r>
            <m:rPr>
              <m:sty m:val="p"/>
            </m:rPr>
            <m:t>,</m:t>
          </m:r>
          <m:r>
            <m:t>63</m:t>
          </m:r>
          <m:r>
            <m:rPr>
              <m:sty m:val="p"/>
            </m:rPr>
            <m:t>,</m:t>
          </m:r>
        </m:oMath>
      </m:oMathPara>
    </w:p>
    <w:p>
      <w:pPr>
        <w:pStyle w:val="FirstParagraph"/>
      </w:pPr>
      <w:r>
        <w:t xml:space="preserve">so the next address/state cannot be finalized before the previous state exists. If one dependent step has effective latency</w:t>
      </w:r>
      <w:r>
        <w:t xml:space="preserve"> </w:t>
      </w:r>
      <m:oMath>
        <m:sSub>
          <m:e>
            <m:r>
              <m:t>t</m:t>
            </m:r>
          </m:e>
          <m:sub>
            <m:r>
              <m:t>d</m:t>
            </m:r>
            <m:r>
              <m:t>e</m:t>
            </m:r>
            <m:r>
              <m:t>p</m:t>
            </m:r>
          </m:sub>
        </m:sSub>
      </m:oMath>
      <w:r>
        <w:t xml:space="preserve">, a schematic critical-path lower bound is</w:t>
      </w:r>
    </w:p>
    <w:p>
      <w:pPr>
        <w:pStyle w:val="BodyText"/>
      </w:pPr>
      <m:oMathPara>
        <m:oMathParaPr>
          <m:jc m:val="center"/>
        </m:oMathParaPr>
        <m:oMath>
          <m:sSub>
            <m:e>
              <m:r>
                <m:t>T</m:t>
              </m:r>
            </m:e>
            <m:sub>
              <m:r>
                <m:t>t</m:t>
              </m:r>
              <m:r>
                <m:t>a</m:t>
              </m:r>
              <m:r>
                <m:t>i</m:t>
              </m:r>
              <m:r>
                <m:t>l</m:t>
              </m:r>
            </m:sub>
          </m:sSub>
          <m:r>
            <m:rPr>
              <m:sty m:val="p"/>
            </m:rPr>
            <m:t>≳</m:t>
          </m:r>
          <m:r>
            <m:t>64</m:t>
          </m:r>
          <m:r>
            <m:t> </m:t>
          </m:r>
          <m:sSub>
            <m:e>
              <m:r>
                <m:t>t</m:t>
              </m:r>
            </m:e>
            <m:sub>
              <m:r>
                <m:t>d</m:t>
              </m:r>
              <m:r>
                <m:t>e</m:t>
              </m:r>
              <m:r>
                <m:t>p</m:t>
              </m:r>
            </m:sub>
          </m:sSub>
          <m:r>
            <m:rPr>
              <m:sty m:val="p"/>
            </m:rPr>
            <m:t>.</m:t>
          </m:r>
        </m:oMath>
      </m:oMathPara>
    </w:p>
    <w:p>
      <w:pPr>
        <w:pStyle w:val="FirstParagraph"/>
      </w:pPr>
      <w:r>
        <w:t xml:space="preserve">This is an engineering dependency bound, not a universal hardware theorem. Epoch rotation further changes the source-exact dataset every 4,320 blocks from canonical ancestry context, reducing the usefulness of indefinitely fixed precomputation. Source-exact C1 lookup authentication prevents a prover from replacing that dataset with an easier formula or table.</w:t>
      </w:r>
    </w:p>
    <w:p>
      <w:pPr>
        <w:pStyle w:val="BodyText"/>
      </w:pPr>
      <w:r>
        <w:t xml:space="preserve">The anti-specialization objective is therefore the conjunction</w:t>
      </w:r>
    </w:p>
    <w:p>
      <w:pPr>
        <w:pStyle w:val="BodyText"/>
      </w:pPr>
      <m:oMathPara>
        <m:oMathParaPr>
          <m:jc m:val="center"/>
        </m:oMathParaPr>
        <m:oMath>
          <m:r>
            <m:rPr>
              <m:nor/>
              <m:sty m:val="p"/>
            </m:rPr>
            <m:t>private capacity</m:t>
          </m:r>
          <m:r>
            <m:rPr>
              <m:sty m:val="p"/>
            </m:rPr>
            <m:t>+</m:t>
          </m:r>
          <m:r>
            <m:rPr>
              <m:nor/>
              <m:sty m:val="p"/>
            </m:rPr>
            <m:t>data-dependent memory</m:t>
          </m:r>
          <m:r>
            <m:rPr>
              <m:sty m:val="p"/>
            </m:rPr>
            <m:t>+</m:t>
          </m:r>
          <m:r>
            <m:rPr>
              <m:nor/>
              <m:sty m:val="p"/>
            </m:rPr>
            <m:t>serial dependency</m:t>
          </m:r>
          <m:r>
            <m:rPr>
              <m:sty m:val="p"/>
            </m:rPr>
            <m:t>+</m:t>
          </m:r>
          <m:r>
            <m:rPr>
              <m:nor/>
              <m:sty m:val="p"/>
            </m:rPr>
            <m:t>epoch rotation</m:t>
          </m:r>
          <m:r>
            <m:rPr>
              <m:sty m:val="p"/>
            </m:rPr>
            <m:t>+</m:t>
          </m:r>
          <m:r>
            <m:rPr>
              <m:nor/>
              <m:sty m:val="p"/>
            </m:rPr>
            <m:t>proof-enforced source exactness</m:t>
          </m:r>
          <m:r>
            <m:rPr>
              <m:sty m:val="p"/>
            </m:rPr>
            <m:t>.</m:t>
          </m:r>
        </m:oMath>
      </m:oMathPara>
    </w:p>
    <w:p>
      <w:pPr>
        <w:pStyle w:val="FirstParagraph"/>
      </w:pPr>
      <w:r>
        <w:t xml:space="preserve">The strongest claim supported today is empirical and bounded: tested BMR/concurrency/TMTO models did not reveal an unacceptable cheap shortcut, and a Huawei Mate Xs / Kirin 990 5G produced valid frozen PoW continuously for 600 seconds. BitFP does</w:t>
      </w:r>
      <w:r>
        <w:t xml:space="preserve"> </w:t>
      </w:r>
      <w:r>
        <w:rPr>
          <w:b/>
          <w:bCs/>
        </w:rPr>
        <w:t xml:space="preserve">not</w:t>
      </w:r>
      <w:r>
        <w:t xml:space="preserve"> </w:t>
      </w:r>
      <w:r>
        <w:t xml:space="preserve">claim that an ASIC, GPU, or future custom architecture can never obtain an advantage.</w:t>
      </w:r>
    </w:p>
    <w:bookmarkEnd w:id="41"/>
    <w:bookmarkStart w:id="42" w:name="Xe49e60eeaf68ea258e42a82e2f90f77c721563d"/>
    <w:p>
      <w:pPr>
        <w:pStyle w:val="Heading3"/>
      </w:pPr>
      <w:r>
        <w:t xml:space="preserve">4.6 What the PoW design does and does not claim</w:t>
      </w:r>
    </w:p>
    <w:p>
      <w:pPr>
        <w:pStyle w:val="FirstParagraph"/>
      </w:pPr>
      <w:r>
        <w:t xml:space="preserve">The private scratchpad, data-dependent reads, and serial tail are intended to raise the cost of trivial shared-state and massive nonce-fan-out shortcuts. BitFP has tested-model BMR, concurrency, and time-memory-tradeoff evidence. It does</w:t>
      </w:r>
      <w:r>
        <w:t xml:space="preserve"> </w:t>
      </w:r>
      <w:r>
        <w:rPr>
          <w:b/>
          <w:bCs/>
        </w:rPr>
        <w:t xml:space="preserve">not</w:t>
      </w:r>
      <w:r>
        <w:t xml:space="preserve"> </w:t>
      </w:r>
      <w:r>
        <w:t xml:space="preserve">claim an unconditional theorem that specialized hardware can never gain an advantage.</w:t>
      </w:r>
    </w:p>
    <w:bookmarkEnd w:id="42"/>
    <w:bookmarkEnd w:id="43"/>
    <w:bookmarkStart w:id="44" w:name="network"/>
    <w:p>
      <w:pPr>
        <w:pStyle w:val="Heading2"/>
      </w:pPr>
      <w:r>
        <w:t xml:space="preserve">5. Network</w:t>
      </w:r>
    </w:p>
    <w:p>
      <w:pPr>
        <w:pStyle w:val="FirstParagraph"/>
      </w:pPr>
      <w:r>
        <w:t xml:space="preserve">The normal network path is:</w:t>
      </w:r>
    </w:p>
    <w:p>
      <w:pPr>
        <w:pStyle w:val="Compact"/>
        <w:numPr>
          <w:ilvl w:val="0"/>
          <w:numId w:val="1003"/>
        </w:numPr>
      </w:pPr>
      <w:r>
        <w:t xml:space="preserve">nodes relay valid transactions according to local admission policy;</w:t>
      </w:r>
    </w:p>
    <w:p>
      <w:pPr>
        <w:pStyle w:val="Compact"/>
        <w:numPr>
          <w:ilvl w:val="0"/>
          <w:numId w:val="1003"/>
        </w:numPr>
      </w:pPr>
      <w:r>
        <w:t xml:space="preserve">miners evaluate the frozen PoW and produce receipts or block-winning work;</w:t>
      </w:r>
    </w:p>
    <w:p>
      <w:pPr>
        <w:pStyle w:val="Compact"/>
        <w:numPr>
          <w:ilvl w:val="0"/>
          <w:numId w:val="1003"/>
        </w:numPr>
      </w:pPr>
      <w:r>
        <w:t xml:space="preserve">a candidate block commits transactions, WorkStatements, receipts, state roots, frozen parameter identities, and the C1 proof package;</w:t>
      </w:r>
    </w:p>
    <w:p>
      <w:pPr>
        <w:pStyle w:val="Compact"/>
        <w:numPr>
          <w:ilvl w:val="0"/>
          <w:numId w:val="1003"/>
        </w:numPr>
      </w:pPr>
      <w:r>
        <w:t xml:space="preserve">validators verify the C1 package and all native consensus rules;</w:t>
      </w:r>
    </w:p>
    <w:p>
      <w:pPr>
        <w:pStyle w:val="Compact"/>
        <w:numPr>
          <w:ilvl w:val="0"/>
          <w:numId w:val="1003"/>
        </w:numPr>
      </w:pPr>
      <w:r>
        <w:t xml:space="preserve">accepted state becomes the parent state for subsequent blocks;</w:t>
      </w:r>
    </w:p>
    <w:p>
      <w:pPr>
        <w:pStyle w:val="Compact"/>
        <w:numPr>
          <w:ilvl w:val="0"/>
          <w:numId w:val="1003"/>
        </w:numPr>
      </w:pPr>
      <w:r>
        <w:t xml:space="preserve">disconnected nodes may rejoin and independently verify missing history/state from peers or archive providers.</w:t>
      </w:r>
    </w:p>
    <w:p>
      <w:pPr>
        <w:pStyle w:val="FirstParagraph"/>
      </w:pPr>
      <w:r>
        <w:t xml:space="preserve">BitFP defines four permissionless capability roles:</w:t>
      </w:r>
    </w:p>
    <w:p>
      <w:pPr>
        <w:pStyle w:val="Compact"/>
        <w:numPr>
          <w:ilvl w:val="0"/>
          <w:numId w:val="1004"/>
        </w:numPr>
      </w:pPr>
      <w:r>
        <w:rPr>
          <w:b/>
          <w:bCs/>
        </w:rPr>
        <w:t xml:space="preserve">Verifying Light Client</w:t>
      </w:r>
      <w:r>
        <w:t xml:space="preserve"> </w:t>
      </w:r>
      <w:r>
        <w:t xml:space="preserve">- verifies owned state, headers, inclusion/state proofs, and required validity proofs; no special consensus authority.</w:t>
      </w:r>
    </w:p>
    <w:p>
      <w:pPr>
        <w:pStyle w:val="Compact"/>
        <w:numPr>
          <w:ilvl w:val="0"/>
          <w:numId w:val="1004"/>
        </w:numPr>
      </w:pPr>
      <w:r>
        <w:rPr>
          <w:b/>
          <w:bCs/>
        </w:rPr>
        <w:t xml:space="preserve">Pruned Full Validator</w:t>
      </w:r>
      <w:r>
        <w:t xml:space="preserve"> </w:t>
      </w:r>
      <w:r>
        <w:t xml:space="preserve">- validates current consensus and retains validated current state while pruning old raw history; ordinary full-validation authority only.</w:t>
      </w:r>
    </w:p>
    <w:p>
      <w:pPr>
        <w:pStyle w:val="Compact"/>
        <w:numPr>
          <w:ilvl w:val="0"/>
          <w:numId w:val="1004"/>
        </w:numPr>
      </w:pPr>
      <w:r>
        <w:rPr>
          <w:b/>
          <w:bCs/>
        </w:rPr>
        <w:t xml:space="preserve">Archival Full Validator</w:t>
      </w:r>
      <w:r>
        <w:t xml:space="preserve"> </w:t>
      </w:r>
      <w:r>
        <w:t xml:space="preserve">- validates the same rules while retaining complete history; the same authority as a pruned full validator.</w:t>
      </w:r>
    </w:p>
    <w:p>
      <w:pPr>
        <w:pStyle w:val="Compact"/>
        <w:numPr>
          <w:ilvl w:val="0"/>
          <w:numId w:val="1004"/>
        </w:numPr>
      </w:pPr>
      <w:r>
        <w:rPr>
          <w:b/>
          <w:bCs/>
        </w:rPr>
        <w:t xml:space="preserve">Archive / Data Provider</w:t>
      </w:r>
      <w:r>
        <w:t xml:space="preserve"> </w:t>
      </w:r>
      <w:r>
        <w:t xml:space="preserve">- serves historical blocks, proofs, snapshots, and indexes; data availability only, with no consensus privilege.</w:t>
      </w:r>
    </w:p>
    <w:p>
      <w:pPr>
        <w:pStyle w:val="FirstParagraph"/>
      </w:pPr>
      <w:r>
        <w:t xml:space="preserve">Mining is orthogonal. A miner may also be any one of these node roles, but mining power does not grant a different validity rule.</w:t>
      </w:r>
    </w:p>
    <w:bookmarkEnd w:id="44"/>
    <w:bookmarkStart w:id="49" w:name="incentives-and-partial-work-receipts"/>
    <w:p>
      <w:pPr>
        <w:pStyle w:val="Heading2"/>
      </w:pPr>
      <w:r>
        <w:t xml:space="preserve">6. Incentives and Partial-Work Receipts</w:t>
      </w:r>
    </w:p>
    <w:p>
      <w:pPr>
        <w:pStyle w:val="FirstParagraph"/>
      </w:pPr>
      <w:r>
        <w:t xml:space="preserve">Let a block’s distributable subsidy or fee budget be</w:t>
      </w:r>
      <w:r>
        <w:t xml:space="preserve"> </w:t>
      </w:r>
      <m:oMath>
        <m:r>
          <m:t>B</m:t>
        </m:r>
      </m:oMath>
      <w:r>
        <w:t xml:space="preserve"> </w:t>
      </w:r>
      <w:r>
        <w:t xml:space="preserve">atoms. The frozen allocation is conceptually</w:t>
      </w:r>
    </w:p>
    <w:p>
      <w:pPr>
        <w:pStyle w:val="BodyText"/>
      </w:pPr>
      <m:oMathPara>
        <m:oMathParaPr>
          <m:jc m:val="center"/>
        </m:oMathParaPr>
        <m:oMath>
          <m:sSub>
            <m:e>
              <m:r>
                <m:t>B</m:t>
              </m:r>
            </m:e>
            <m:sub>
              <m:r>
                <m:rPr>
                  <m:sty m:val="p"/>
                </m:rPr>
                <m:t>p</m:t>
              </m:r>
              <m:r>
                <m:rPr>
                  <m:sty m:val="p"/>
                </m:rPr>
                <m:t>a</m:t>
              </m:r>
              <m:r>
                <m:rPr>
                  <m:sty m:val="p"/>
                </m:rPr>
                <m:t>r</m:t>
              </m:r>
              <m:r>
                <m:rPr>
                  <m:sty m:val="p"/>
                </m:rPr>
                <m:t>t</m:t>
              </m:r>
              <m:r>
                <m:rPr>
                  <m:sty m:val="p"/>
                </m:rPr>
                <m:t>i</m:t>
              </m:r>
              <m:r>
                <m:rPr>
                  <m:sty m:val="p"/>
                </m:rPr>
                <m:t>c</m:t>
              </m:r>
              <m:r>
                <m:rPr>
                  <m:sty m:val="p"/>
                </m:rPr>
                <m:t>i</m:t>
              </m:r>
              <m:r>
                <m:rPr>
                  <m:sty m:val="p"/>
                </m:rPr>
                <m:t>p</m:t>
              </m:r>
              <m:r>
                <m:rPr>
                  <m:sty m:val="p"/>
                </m:rPr>
                <m:t>a</m:t>
              </m:r>
              <m:r>
                <m:rPr>
                  <m:sty m:val="p"/>
                </m:rPr>
                <m:t>n</m:t>
              </m:r>
              <m:r>
                <m:rPr>
                  <m:sty m:val="p"/>
                </m:rPr>
                <m:t>t</m:t>
              </m:r>
            </m:sub>
          </m:sSub>
          <m:r>
            <m:rPr>
              <m:sty m:val="p"/>
            </m:rPr>
            <m:t>=</m:t>
          </m:r>
          <m:r>
            <m:t>0.9</m:t>
          </m:r>
          <m:r>
            <m:t>B</m:t>
          </m:r>
          <m:r>
            <m:rPr>
              <m:sty m:val="p"/>
            </m:rPr>
            <m:t>,</m:t>
          </m:r>
          <m:r>
            <m:t>  </m:t>
          </m:r>
          <m:sSub>
            <m:e>
              <m:r>
                <m:t>B</m:t>
              </m:r>
            </m:e>
            <m:sub>
              <m:r>
                <m:rPr>
                  <m:sty m:val="p"/>
                </m:rPr>
                <m:t>p</m:t>
              </m:r>
              <m:r>
                <m:rPr>
                  <m:sty m:val="p"/>
                </m:rPr>
                <m:t>r</m:t>
              </m:r>
              <m:r>
                <m:rPr>
                  <m:sty m:val="p"/>
                </m:rPr>
                <m:t>o</m:t>
              </m:r>
              <m:r>
                <m:rPr>
                  <m:sty m:val="p"/>
                </m:rPr>
                <m:t>p</m:t>
              </m:r>
              <m:r>
                <m:rPr>
                  <m:sty m:val="p"/>
                </m:rPr>
                <m:t>o</m:t>
              </m:r>
              <m:r>
                <m:rPr>
                  <m:sty m:val="p"/>
                </m:rPr>
                <m:t>s</m:t>
              </m:r>
              <m:r>
                <m:rPr>
                  <m:sty m:val="p"/>
                </m:rPr>
                <m:t>e</m:t>
              </m:r>
              <m:r>
                <m:rPr>
                  <m:sty m:val="p"/>
                </m:rPr>
                <m:t>r</m:t>
              </m:r>
            </m:sub>
          </m:sSub>
          <m:r>
            <m:rPr>
              <m:sty m:val="p"/>
            </m:rPr>
            <m:t>=</m:t>
          </m:r>
          <m:r>
            <m:t>0.1</m:t>
          </m:r>
          <m:r>
            <m:t>B</m:t>
          </m:r>
          <m:r>
            <m:rPr>
              <m:sty m:val="p"/>
            </m:rPr>
            <m:t>,</m:t>
          </m:r>
        </m:oMath>
      </m:oMathPara>
    </w:p>
    <w:p>
      <w:pPr>
        <w:pStyle w:val="FirstParagraph"/>
      </w:pPr>
      <w:r>
        <w:t xml:space="preserve">with exact integer treatment governed by PARAM-01. No collected transaction fee is burned, and no independent inclusion bounty is minted.</w:t>
      </w:r>
    </w:p>
    <w:p>
      <w:pPr>
        <w:pStyle w:val="BodyText"/>
      </w:pPr>
      <w:r>
        <w:t xml:space="preserve">The selected issuance schedule uses eight decimal places, a 21,000,000 BFP reference scale, an initial 50 BFP geometric subsidy, a 210,000-block halving interval, and a nominal 52,500 BFP/year tail. The 21M scale is a reference scale, not an absolute lifetime cap. BitFP also does not introduce a later finite hard stop such as 24 million BFP; the tail continues nominal issuance.</w:t>
      </w:r>
    </w:p>
    <w:bookmarkStart w:id="45" w:name="Xf6d72cebab5d3d18ee038bc8ed9d72d72cc2f40"/>
    <w:p>
      <w:pPr>
        <w:pStyle w:val="Heading3"/>
      </w:pPr>
      <w:r>
        <w:t xml:space="preserve">6.1 Why partial-work receipts reduce structural pool dependence</w:t>
      </w:r>
    </w:p>
    <w:p>
      <w:pPr>
        <w:pStyle w:val="FirstParagraph"/>
      </w:pPr>
      <w:r>
        <w:t xml:space="preserve">In a pure block-winner lottery, a small miner receives nothing until it finds a full block. If the miner controls fraction</w:t>
      </w:r>
      <w:r>
        <w:t xml:space="preserve"> </w:t>
      </w:r>
      <m:oMath>
        <m:sSub>
          <m:e>
            <m:r>
              <m:t>q</m:t>
            </m:r>
          </m:e>
          <m:sub>
            <m:r>
              <m:t>i</m:t>
            </m:r>
          </m:sub>
        </m:sSub>
      </m:oMath>
      <w:r>
        <w:t xml:space="preserve"> </w:t>
      </w:r>
      <w:r>
        <w:t xml:space="preserve">of work, the probability of winning any particular block is approximately</w:t>
      </w:r>
      <w:r>
        <w:t xml:space="preserve"> </w:t>
      </w:r>
      <m:oMath>
        <m:sSub>
          <m:e>
            <m:r>
              <m:t>q</m:t>
            </m:r>
          </m:e>
          <m:sub>
            <m:r>
              <m:t>i</m:t>
            </m:r>
          </m:sub>
        </m:sSub>
      </m:oMath>
      <w:r>
        <w:t xml:space="preserve">, but the waiting time can be extremely long when</w:t>
      </w:r>
      <w:r>
        <w:t xml:space="preserve"> </w:t>
      </w:r>
      <m:oMath>
        <m:sSub>
          <m:e>
            <m:r>
              <m:t>q</m:t>
            </m:r>
          </m:e>
          <m:sub>
            <m:r>
              <m:t>i</m:t>
            </m:r>
          </m:sub>
        </m:sSub>
      </m:oMath>
      <w:r>
        <w:t xml:space="preserve"> </w:t>
      </w:r>
      <w:r>
        <w:t xml:space="preserve">is tiny. Pools reduce variance by paying for submitted partial work.</w:t>
      </w:r>
    </w:p>
    <w:p>
      <w:pPr>
        <w:pStyle w:val="BodyText"/>
      </w:pPr>
      <w:r>
        <w:t xml:space="preserve">BitFP moves that partial-work accounting into the protocol itself. A valid receipt is owner-bound, target-checked, context-bound, and can create participant entitlement under the frozen reward rules. The miner therefore does not need a pool operator to create a private share ledger merely to obtain frequent recognition of valid work.</w:t>
      </w:r>
    </w:p>
    <w:p>
      <w:pPr>
        <w:pStyle w:val="BodyText"/>
      </w:pPr>
      <w:r>
        <w:t xml:space="preserve">This does not prohibit pools. A miner may still choose aggregation, hosting, or payout services. The protocol objective is narrower and more important:</w:t>
      </w:r>
      <w:r>
        <w:t xml:space="preserve"> </w:t>
      </w:r>
      <w:r>
        <w:rPr>
          <w:b/>
          <w:bCs/>
        </w:rPr>
        <w:t xml:space="preserve">a pool must not be a protocol requirement for an ordinary computer to earn direct protocol entitlement from valid work.</w:t>
      </w:r>
      <w:r>
        <w:t xml:space="preserve"> </w:t>
      </w:r>
      <w:r>
        <w:t xml:space="preserve">As total network work rises, an individual machine’s expected share declines naturally; it is not excluded by a whitelist, ASIC-only instruction, or winner-take-all payout path.</w:t>
      </w:r>
    </w:p>
    <w:bookmarkEnd w:id="45"/>
    <w:bookmarkStart w:id="46" w:name="X8a7b5d444363e08a7bfacf3d727fa532ca61ac1"/>
    <w:p>
      <w:pPr>
        <w:pStyle w:val="Heading3"/>
      </w:pPr>
      <w:r>
        <w:t xml:space="preserve">6.2 Why BitFP deliberately has no finite hard supply cap</w:t>
      </w:r>
    </w:p>
    <w:p>
      <w:pPr>
        <w:pStyle w:val="FirstParagraph"/>
      </w:pPr>
      <w:r>
        <w:t xml:space="preserve">Bitcoin’s whitepaper describes a future in which subsidy can eventually transition entirely to transaction fees [1]. BitFP makes a different long-run security-budget choice. Let the per-block security budget be</w:t>
      </w:r>
    </w:p>
    <w:p>
      <w:pPr>
        <w:pStyle w:val="BodyText"/>
      </w:pPr>
      <m:oMathPara>
        <m:oMathParaPr>
          <m:jc m:val="center"/>
        </m:oMathParaPr>
        <m:oMath>
          <m:sSub>
            <m:e>
              <m:r>
                <m:t>B</m:t>
              </m:r>
            </m:e>
            <m:sub>
              <m:r>
                <m:t>s</m:t>
              </m:r>
              <m:r>
                <m:t>e</m:t>
              </m:r>
              <m:r>
                <m:t>c</m:t>
              </m:r>
            </m:sub>
          </m:sSub>
          <m:d>
            <m:dPr>
              <m:begChr m:val="("/>
              <m:endChr m:val=")"/>
              <m:sepChr m:val=""/>
              <m:grow/>
            </m:dPr>
            <m:e>
              <m:r>
                <m:t>h</m:t>
              </m:r>
            </m:e>
          </m:d>
          <m:r>
            <m:rPr>
              <m:sty m:val="p"/>
            </m:rPr>
            <m:t>=</m:t>
          </m:r>
          <m:r>
            <m:t>S</m:t>
          </m:r>
          <m:d>
            <m:dPr>
              <m:begChr m:val="("/>
              <m:endChr m:val=")"/>
              <m:sepChr m:val=""/>
              <m:grow/>
            </m:dPr>
            <m:e>
              <m:r>
                <m:t>h</m:t>
              </m:r>
            </m:e>
          </m:d>
          <m:r>
            <m:rPr>
              <m:sty m:val="p"/>
            </m:rPr>
            <m:t>+</m:t>
          </m:r>
          <m:r>
            <m:t>F</m:t>
          </m:r>
          <m:d>
            <m:dPr>
              <m:begChr m:val="("/>
              <m:endChr m:val=")"/>
              <m:sepChr m:val=""/>
              <m:grow/>
            </m:dPr>
            <m:e>
              <m:r>
                <m:t>h</m:t>
              </m:r>
            </m:e>
          </m:d>
          <m:r>
            <m:rPr>
              <m:sty m:val="p"/>
            </m:rPr>
            <m:t>,</m:t>
          </m:r>
        </m:oMath>
      </m:oMathPara>
    </w:p>
    <w:p>
      <w:pPr>
        <w:pStyle w:val="FirstParagraph"/>
      </w:pPr>
      <w:r>
        <w:t xml:space="preserve">where</w:t>
      </w:r>
      <w:r>
        <w:t xml:space="preserve"> </w:t>
      </w:r>
      <m:oMath>
        <m:r>
          <m:t>S</m:t>
        </m:r>
        <m:d>
          <m:dPr>
            <m:begChr m:val="("/>
            <m:endChr m:val=")"/>
            <m:sepChr m:val=""/>
            <m:grow/>
          </m:dPr>
          <m:e>
            <m:r>
              <m:t>h</m:t>
            </m:r>
          </m:e>
        </m:d>
      </m:oMath>
      <w:r>
        <w:t xml:space="preserve"> </w:t>
      </w:r>
      <w:r>
        <w:t xml:space="preserve">is protocol issuance available to security incentives and</w:t>
      </w:r>
      <w:r>
        <w:t xml:space="preserve"> </w:t>
      </w:r>
      <m:oMath>
        <m:r>
          <m:t>F</m:t>
        </m:r>
        <m:d>
          <m:dPr>
            <m:begChr m:val="("/>
            <m:endChr m:val=")"/>
            <m:sepChr m:val=""/>
            <m:grow/>
          </m:dPr>
          <m:e>
            <m:r>
              <m:t>h</m:t>
            </m:r>
          </m:e>
        </m:d>
      </m:oMath>
      <w:r>
        <w:t xml:space="preserve"> </w:t>
      </w:r>
      <w:r>
        <w:t xml:space="preserve">is collected transaction fees. Under a finite hard cap, eventually</w:t>
      </w:r>
    </w:p>
    <w:p>
      <w:pPr>
        <w:pStyle w:val="BodyText"/>
      </w:pPr>
      <m:oMathPara>
        <m:oMathParaPr>
          <m:jc m:val="center"/>
        </m:oMathParaPr>
        <m:oMath>
          <m:r>
            <m:t>S</m:t>
          </m:r>
          <m:d>
            <m:dPr>
              <m:begChr m:val="("/>
              <m:endChr m:val=")"/>
              <m:sepChr m:val=""/>
              <m:grow/>
            </m:dPr>
            <m:e>
              <m:r>
                <m:t>h</m:t>
              </m:r>
            </m:e>
          </m:d>
          <m:r>
            <m:rPr>
              <m:sty m:val="p"/>
            </m:rPr>
            <m:t>→</m:t>
          </m:r>
          <m:r>
            <m:t>0</m:t>
          </m:r>
          <m:r>
            <m:rPr>
              <m:sty m:val="p"/>
            </m:rPr>
            <m:t>,</m:t>
          </m:r>
        </m:oMath>
      </m:oMathPara>
    </w:p>
    <w:p>
      <w:pPr>
        <w:pStyle w:val="FirstParagraph"/>
      </w:pPr>
      <w:r>
        <w:t xml:space="preserve">so</w:t>
      </w:r>
    </w:p>
    <w:p>
      <w:pPr>
        <w:pStyle w:val="BodyText"/>
      </w:pPr>
      <m:oMathPara>
        <m:oMathParaPr>
          <m:jc m:val="center"/>
        </m:oMathParaPr>
        <m:oMath>
          <m:sSub>
            <m:e>
              <m:r>
                <m:t>B</m:t>
              </m:r>
            </m:e>
            <m:sub>
              <m:r>
                <m:t>s</m:t>
              </m:r>
              <m:r>
                <m:t>e</m:t>
              </m:r>
              <m:r>
                <m:t>c</m:t>
              </m:r>
            </m:sub>
          </m:sSub>
          <m:d>
            <m:dPr>
              <m:begChr m:val="("/>
              <m:endChr m:val=")"/>
              <m:sepChr m:val=""/>
              <m:grow/>
            </m:dPr>
            <m:e>
              <m:r>
                <m:t>h</m:t>
              </m:r>
            </m:e>
          </m:d>
          <m:r>
            <m:rPr>
              <m:sty m:val="p"/>
            </m:rPr>
            <m:t>→</m:t>
          </m:r>
          <m:r>
            <m:t>F</m:t>
          </m:r>
          <m:d>
            <m:dPr>
              <m:begChr m:val="("/>
              <m:endChr m:val=")"/>
              <m:sepChr m:val=""/>
              <m:grow/>
            </m:dPr>
            <m:e>
              <m:r>
                <m:t>h</m:t>
              </m:r>
            </m:e>
          </m:d>
          <m:r>
            <m:rPr>
              <m:sty m:val="p"/>
            </m:rPr>
            <m:t>.</m:t>
          </m:r>
        </m:oMath>
      </m:oMathPara>
    </w:p>
    <w:p>
      <w:pPr>
        <w:pStyle w:val="FirstParagraph"/>
      </w:pPr>
      <w:r>
        <w:t xml:space="preserve">That makes long-run security depend entirely on future fee demand. BitFP deliberately avoids making that economic assumption a consensus requirement. This matters especially for an agent-native network in which consensus permits zero-fee transactions and where many machine-to-machine transfers may be low-value.</w:t>
      </w:r>
    </w:p>
    <w:p>
      <w:pPr>
        <w:pStyle w:val="BodyText"/>
      </w:pPr>
      <w:r>
        <w:t xml:space="preserve">The frozen model therefore keeps a nominal tail issuance</w:t>
      </w:r>
    </w:p>
    <w:p>
      <w:pPr>
        <w:pStyle w:val="BodyText"/>
      </w:pPr>
      <m:oMathPara>
        <m:oMathParaPr>
          <m:jc m:val="center"/>
        </m:oMathParaPr>
        <m:oMath>
          <m:sSub>
            <m:e>
              <m:r>
                <m:t>E</m:t>
              </m:r>
            </m:e>
            <m:sub>
              <m:r>
                <m:t>t</m:t>
              </m:r>
              <m:r>
                <m:t>a</m:t>
              </m:r>
              <m:r>
                <m:t>i</m:t>
              </m:r>
              <m:r>
                <m:t>l</m:t>
              </m:r>
            </m:sub>
          </m:sSub>
          <m:r>
            <m:rPr>
              <m:sty m:val="p"/>
            </m:rPr>
            <m:t>=</m:t>
          </m:r>
          <m:r>
            <m:t>52</m:t>
          </m:r>
          <m:r>
            <m:rPr>
              <m:sty m:val="p"/>
            </m:rPr>
            <m:t>,</m:t>
          </m:r>
          <m:r>
            <m:t>500</m:t>
          </m:r>
          <m:r>
            <m:t> </m:t>
          </m:r>
          <m:r>
            <m:rPr>
              <m:sty m:val="p"/>
            </m:rPr>
            <m:t>B</m:t>
          </m:r>
          <m:r>
            <m:rPr>
              <m:sty m:val="p"/>
            </m:rPr>
            <m:t>F</m:t>
          </m:r>
          <m:r>
            <m:rPr>
              <m:sty m:val="p"/>
            </m:rPr>
            <m:t>P</m:t>
          </m:r>
          <m:r>
            <m:rPr>
              <m:sty m:val="p"/>
            </m:rPr>
            <m:t>/</m:t>
          </m:r>
          <m:r>
            <m:rPr>
              <m:sty m:val="p"/>
            </m:rPr>
            <m:t>y</m:t>
          </m:r>
          <m:r>
            <m:rPr>
              <m:sty m:val="p"/>
            </m:rPr>
            <m:t>e</m:t>
          </m:r>
          <m:r>
            <m:rPr>
              <m:sty m:val="p"/>
            </m:rPr>
            <m:t>a</m:t>
          </m:r>
          <m:r>
            <m:rPr>
              <m:sty m:val="p"/>
            </m:rPr>
            <m:t>r</m:t>
          </m:r>
          <m:r>
            <m:rPr>
              <m:sty m:val="p"/>
            </m:rPr>
            <m:t>.</m:t>
          </m:r>
        </m:oMath>
      </m:oMathPara>
    </w:p>
    <w:p>
      <w:pPr>
        <w:pStyle w:val="FirstParagraph"/>
      </w:pPr>
      <w:r>
        <w:t xml:space="preserve">If</w:t>
      </w:r>
      <w:r>
        <w:t xml:space="preserve"> </w:t>
      </w:r>
      <m:oMath>
        <m:sSub>
          <m:e>
            <m:r>
              <m:t>t</m:t>
            </m:r>
          </m:e>
          <m:sub>
            <m:r>
              <m:t>0</m:t>
            </m:r>
          </m:sub>
        </m:sSub>
      </m:oMath>
      <w:r>
        <w:t xml:space="preserve"> </w:t>
      </w:r>
      <w:r>
        <w:t xml:space="preserve">is the start of the tail regime, a simplified long-run supply model is</w:t>
      </w:r>
    </w:p>
    <w:p>
      <w:pPr>
        <w:pStyle w:val="BodyText"/>
      </w:pPr>
      <m:oMathPara>
        <m:oMathParaPr>
          <m:jc m:val="center"/>
        </m:oMathParaPr>
        <m:oMath>
          <m:r>
            <m:rPr>
              <m:sty m:val="p"/>
            </m:rPr>
            <m:t>S</m:t>
          </m:r>
          <m:r>
            <m:rPr>
              <m:sty m:val="p"/>
            </m:rPr>
            <m:t>u</m:t>
          </m:r>
          <m:r>
            <m:rPr>
              <m:sty m:val="p"/>
            </m:rPr>
            <m:t>p</m:t>
          </m:r>
          <m:r>
            <m:rPr>
              <m:sty m:val="p"/>
            </m:rPr>
            <m:t>p</m:t>
          </m:r>
          <m:r>
            <m:rPr>
              <m:sty m:val="p"/>
            </m:rPr>
            <m:t>l</m:t>
          </m:r>
          <m:r>
            <m:rPr>
              <m:sty m:val="p"/>
            </m:rPr>
            <m:t>y</m:t>
          </m:r>
          <m:d>
            <m:dPr>
              <m:begChr m:val="("/>
              <m:endChr m:val=")"/>
              <m:sepChr m:val=""/>
              <m:grow/>
            </m:dPr>
            <m:e>
              <m:r>
                <m:t>t</m:t>
              </m:r>
            </m:e>
          </m:d>
          <m:r>
            <m:rPr>
              <m:sty m:val="p"/>
            </m:rPr>
            <m:t>=</m:t>
          </m:r>
          <m:r>
            <m:rPr>
              <m:sty m:val="p"/>
            </m:rPr>
            <m:t>S</m:t>
          </m:r>
          <m:r>
            <m:rPr>
              <m:sty m:val="p"/>
            </m:rPr>
            <m:t>u</m:t>
          </m:r>
          <m:r>
            <m:rPr>
              <m:sty m:val="p"/>
            </m:rPr>
            <m:t>p</m:t>
          </m:r>
          <m:r>
            <m:rPr>
              <m:sty m:val="p"/>
            </m:rPr>
            <m:t>p</m:t>
          </m:r>
          <m:r>
            <m:rPr>
              <m:sty m:val="p"/>
            </m:rPr>
            <m:t>l</m:t>
          </m:r>
          <m:r>
            <m:rPr>
              <m:sty m:val="p"/>
            </m:rPr>
            <m:t>y</m:t>
          </m:r>
          <m:d>
            <m:dPr>
              <m:begChr m:val="("/>
              <m:endChr m:val=")"/>
              <m:sepChr m:val=""/>
              <m:grow/>
            </m:dPr>
            <m:e>
              <m:sSub>
                <m:e>
                  <m:r>
                    <m:t>t</m:t>
                  </m:r>
                </m:e>
                <m:sub>
                  <m:r>
                    <m:t>0</m:t>
                  </m:r>
                </m:sub>
              </m:sSub>
            </m:e>
          </m:d>
          <m:r>
            <m:rPr>
              <m:sty m:val="p"/>
            </m:rPr>
            <m:t>+</m:t>
          </m:r>
          <m:sSub>
            <m:e>
              <m:r>
                <m:t>E</m:t>
              </m:r>
            </m:e>
            <m:sub>
              <m:r>
                <m:t>t</m:t>
              </m:r>
              <m:r>
                <m:t>a</m:t>
              </m:r>
              <m:r>
                <m:t>i</m:t>
              </m:r>
              <m:r>
                <m:t>l</m:t>
              </m:r>
            </m:sub>
          </m:sSub>
          <m:d>
            <m:dPr>
              <m:begChr m:val="("/>
              <m:endChr m:val=")"/>
              <m:sepChr m:val=""/>
              <m:grow/>
            </m:dPr>
            <m:e>
              <m:r>
                <m:t>t</m:t>
              </m:r>
              <m:r>
                <m:rPr>
                  <m:sty m:val="p"/>
                </m:rPr>
                <m:t>−</m:t>
              </m:r>
              <m:sSub>
                <m:e>
                  <m:r>
                    <m:t>t</m:t>
                  </m:r>
                </m:e>
                <m:sub>
                  <m:r>
                    <m:t>0</m:t>
                  </m:r>
                </m:sub>
              </m:sSub>
            </m:e>
          </m:d>
          <m:r>
            <m:rPr>
              <m:sty m:val="p"/>
            </m:rPr>
            <m:t>,</m:t>
          </m:r>
          <m:r>
            <m:t>  </m:t>
          </m:r>
          <m:r>
            <m:t>t</m:t>
          </m:r>
          <m:r>
            <m:rPr>
              <m:sty m:val="p"/>
            </m:rPr>
            <m:t>≥</m:t>
          </m:r>
          <m:sSub>
            <m:e>
              <m:r>
                <m:t>t</m:t>
              </m:r>
            </m:e>
            <m:sub>
              <m:r>
                <m:t>0</m:t>
              </m:r>
            </m:sub>
          </m:sSub>
          <m:r>
            <m:rPr>
              <m:sty m:val="p"/>
            </m:rPr>
            <m:t>.</m:t>
          </m:r>
        </m:oMath>
      </m:oMathPara>
    </w:p>
    <w:p>
      <w:pPr>
        <w:pStyle w:val="FirstParagraph"/>
      </w:pPr>
      <w:r>
        <w:t xml:space="preserve">The corresponding annual issuance rate as a fraction of outstanding supply is</w:t>
      </w:r>
    </w:p>
    <w:p>
      <w:pPr>
        <w:pStyle w:val="BodyText"/>
      </w:pPr>
      <m:oMathPara>
        <m:oMathParaPr>
          <m:jc m:val="center"/>
        </m:oMathParaPr>
        <m:oMath>
          <m:r>
            <m:t>μ</m:t>
          </m:r>
          <m:d>
            <m:dPr>
              <m:begChr m:val="("/>
              <m:endChr m:val=")"/>
              <m:sepChr m:val=""/>
              <m:grow/>
            </m:dPr>
            <m:e>
              <m:r>
                <m:t>t</m:t>
              </m:r>
            </m:e>
          </m:d>
          <m:r>
            <m:rPr>
              <m:sty m:val="p"/>
            </m:rPr>
            <m:t>=</m:t>
          </m:r>
          <m:f>
            <m:fPr>
              <m:type m:val="bar"/>
            </m:fPr>
            <m:num>
              <m:sSub>
                <m:e>
                  <m:r>
                    <m:t>E</m:t>
                  </m:r>
                </m:e>
                <m:sub>
                  <m:r>
                    <m:t>t</m:t>
                  </m:r>
                  <m:r>
                    <m:t>a</m:t>
                  </m:r>
                  <m:r>
                    <m:t>i</m:t>
                  </m:r>
                  <m:r>
                    <m:t>l</m:t>
                  </m:r>
                </m:sub>
              </m:sSub>
            </m:num>
            <m:den>
              <m:r>
                <m:rPr>
                  <m:sty m:val="p"/>
                </m:rPr>
                <m:t>S</m:t>
              </m:r>
              <m:r>
                <m:rPr>
                  <m:sty m:val="p"/>
                </m:rPr>
                <m:t>u</m:t>
              </m:r>
              <m:r>
                <m:rPr>
                  <m:sty m:val="p"/>
                </m:rPr>
                <m:t>p</m:t>
              </m:r>
              <m:r>
                <m:rPr>
                  <m:sty m:val="p"/>
                </m:rPr>
                <m:t>p</m:t>
              </m:r>
              <m:r>
                <m:rPr>
                  <m:sty m:val="p"/>
                </m:rPr>
                <m:t>l</m:t>
              </m:r>
              <m:r>
                <m:rPr>
                  <m:sty m:val="p"/>
                </m:rPr>
                <m:t>y</m:t>
              </m:r>
              <m:d>
                <m:dPr>
                  <m:begChr m:val="("/>
                  <m:endChr m:val=")"/>
                  <m:sepChr m:val=""/>
                  <m:grow/>
                </m:dPr>
                <m:e>
                  <m:r>
                    <m:t>t</m:t>
                  </m:r>
                </m:e>
              </m:d>
            </m:den>
          </m:f>
          <m:r>
            <m:rPr>
              <m:sty m:val="p"/>
            </m:rPr>
            <m:t>,</m:t>
          </m:r>
        </m:oMath>
      </m:oMathPara>
    </w:p>
    <w:p>
      <w:pPr>
        <w:pStyle w:val="FirstParagraph"/>
      </w:pPr>
      <w:r>
        <w:t xml:space="preserve">and therefore</w:t>
      </w:r>
    </w:p>
    <w:p>
      <w:pPr>
        <w:pStyle w:val="BodyText"/>
      </w:pPr>
      <m:oMathPara>
        <m:oMathParaPr>
          <m:jc m:val="center"/>
        </m:oMathParaPr>
        <m:oMath>
          <m:limLow>
            <m:e>
              <m:r>
                <m:rPr>
                  <m:sty m:val="p"/>
                </m:rPr>
                <m:t>lim</m:t>
              </m:r>
            </m:e>
            <m:lim>
              <m:r>
                <m:t>t</m:t>
              </m:r>
              <m:r>
                <m:rPr>
                  <m:sty m:val="p"/>
                </m:rPr>
                <m:t>→</m:t>
              </m:r>
              <m:r>
                <m:rPr>
                  <m:sty m:val="p"/>
                </m:rPr>
                <m:t>∞</m:t>
              </m:r>
            </m:lim>
          </m:limLow>
          <m:r>
            <m:t>μ</m:t>
          </m:r>
          <m:d>
            <m:dPr>
              <m:begChr m:val="("/>
              <m:endChr m:val=")"/>
              <m:sepChr m:val=""/>
              <m:grow/>
            </m:dPr>
            <m:e>
              <m:r>
                <m:t>t</m:t>
              </m:r>
            </m:e>
          </m:d>
          <m:r>
            <m:rPr>
              <m:sty m:val="p"/>
            </m:rPr>
            <m:t>=</m:t>
          </m:r>
          <m:r>
            <m:t>0</m:t>
          </m:r>
          <m:r>
            <m:rPr>
              <m:sty m:val="p"/>
            </m:rPr>
            <m:t>.</m:t>
          </m:r>
        </m:oMath>
      </m:oMathPara>
    </w:p>
    <w:p>
      <w:pPr>
        <w:pStyle w:val="FirstParagraph"/>
      </w:pPr>
      <w:r>
        <w:t xml:space="preserve">Thus BitFP chooses a permanently nonzero nominal security contribution whose</w:t>
      </w:r>
      <w:r>
        <w:t xml:space="preserve"> </w:t>
      </w:r>
      <w:r>
        <w:rPr>
          <w:b/>
          <w:bCs/>
        </w:rPr>
        <w:t xml:space="preserve">percentage monetary expansion tends toward zero over time</w:t>
      </w:r>
      <w:r>
        <w:t xml:space="preserve">, rather than a finite supply ceiling followed by a forced fee-only security regime. The 21M reference scale is retained for monetary scale and schedule design, but it is not a hard maximum. A 24M hard cap is likewise not part of the frozen protocol.</w:t>
      </w:r>
    </w:p>
    <w:p>
      <w:pPr>
        <w:pStyle w:val="BodyText"/>
      </w:pPr>
      <w:r>
        <w:t xml:space="preserve">This choice does not guarantee network security or token value. It provides a predictable base component for the security budget so that the network does not have to assume that future transaction fees alone will always be sufficient. Collected fees are not burned; they also enter the security budget, and the frozen participant/proposer split remains 90/10.</w:t>
      </w:r>
    </w:p>
    <w:bookmarkEnd w:id="46"/>
    <w:bookmarkStart w:id="47" w:name="retry-and-maturity"/>
    <w:p>
      <w:pPr>
        <w:pStyle w:val="Heading3"/>
      </w:pPr>
      <w:r>
        <w:t xml:space="preserve">6.3 Retry and maturity</w:t>
      </w:r>
    </w:p>
    <w:p>
      <w:pPr>
        <w:pStyle w:val="FirstParagraph"/>
      </w:pPr>
      <w:r>
        <w:t xml:space="preserve">A receipt is bound to its exact height and parent context. A missed entitlement may retry for six blocks only by</w:t>
      </w:r>
      <w:r>
        <w:t xml:space="preserve"> </w:t>
      </w:r>
      <w:r>
        <w:rPr>
          <w:b/>
          <w:bCs/>
        </w:rPr>
        <w:t xml:space="preserve">rebind/reissue</w:t>
      </w:r>
      <w:r>
        <w:t xml:space="preserve">. An old receipt itself is invalid in a later context.</w:t>
      </w:r>
    </w:p>
    <w:p>
      <w:pPr>
        <w:pStyle w:val="BodyText"/>
      </w:pPr>
      <w:r>
        <w:t xml:space="preserve">Maturity is frozen at 105 canonical descendants. Section 11 derives the selected depth with the same Poisson catch-up model used in Bitcoin-style reorganization analysis.</w:t>
      </w:r>
    </w:p>
    <w:bookmarkEnd w:id="47"/>
    <w:bookmarkStart w:id="48" w:name="exact-entitlement-arithmetic"/>
    <w:p>
      <w:pPr>
        <w:pStyle w:val="Heading3"/>
      </w:pPr>
      <w:r>
        <w:t xml:space="preserve">6.4 Exact entitlement arithmetic</w:t>
      </w:r>
    </w:p>
    <w:p>
      <w:pPr>
        <w:pStyle w:val="FirstParagraph"/>
      </w:pPr>
      <w:r>
        <w:t xml:space="preserve">The hard maximum number of new entitlement units per block is</w:t>
      </w:r>
    </w:p>
    <w:p>
      <w:pPr>
        <w:pStyle w:val="BodyText"/>
      </w:pPr>
      <m:oMathPara>
        <m:oMathParaPr>
          <m:jc m:val="center"/>
        </m:oMathParaPr>
        <m:oMath>
          <m:r>
            <m:t>M</m:t>
          </m:r>
          <m:r>
            <m:rPr>
              <m:sty m:val="p"/>
            </m:rPr>
            <m:t>=</m:t>
          </m:r>
          <m:r>
            <m:t>38</m:t>
          </m:r>
          <m:r>
            <m:rPr>
              <m:sty m:val="p"/>
            </m:rPr>
            <m:t>,</m:t>
          </m:r>
          <m:r>
            <m:t>400</m:t>
          </m:r>
          <m:r>
            <m:rPr>
              <m:sty m:val="p"/>
            </m:rPr>
            <m:t>.</m:t>
          </m:r>
        </m:oMath>
      </m:oMathPara>
    </w:p>
    <w:p>
      <w:pPr>
        <w:pStyle w:val="FirstParagraph"/>
      </w:pPr>
      <w:r>
        <w:t xml:space="preserve">The entitlement denominator is selected as</w:t>
      </w:r>
    </w:p>
    <w:p>
      <w:pPr>
        <w:pStyle w:val="BodyText"/>
      </w:pPr>
      <m:oMathPara>
        <m:oMathParaPr>
          <m:jc m:val="center"/>
        </m:oMathParaPr>
        <m:oMath>
          <m:r>
            <m:t>D</m:t>
          </m:r>
          <m:r>
            <m:rPr>
              <m:sty m:val="p"/>
            </m:rPr>
            <m:t>=</m:t>
          </m:r>
          <m:r>
            <m:t>M</m:t>
          </m:r>
          <m:r>
            <m:rPr>
              <m:sty m:val="p"/>
            </m:rPr>
            <m:t>=</m:t>
          </m:r>
          <m:r>
            <m:t>38</m:t>
          </m:r>
          <m:r>
            <m:rPr>
              <m:sty m:val="p"/>
            </m:rPr>
            <m:t>,</m:t>
          </m:r>
          <m:r>
            <m:t>400</m:t>
          </m:r>
          <m:r>
            <m:rPr>
              <m:sty m:val="p"/>
            </m:rPr>
            <m:t>.</m:t>
          </m:r>
        </m:oMath>
      </m:oMathPara>
    </w:p>
    <w:p>
      <w:pPr>
        <w:pStyle w:val="FirstParagraph"/>
      </w:pPr>
      <w:r>
        <w:t xml:space="preserve">Define the internal quantum so that</w:t>
      </w:r>
    </w:p>
    <w:p>
      <w:pPr>
        <w:pStyle w:val="BodyText"/>
      </w:pPr>
      <m:oMathPara>
        <m:oMathParaPr>
          <m:jc m:val="center"/>
        </m:oMathParaPr>
        <m:oMath>
          <m:r>
            <m:t>D</m:t>
          </m:r>
          <m:r>
            <m:t> </m:t>
          </m:r>
          <m:r>
            <m:rPr>
              <m:sty m:val="p"/>
            </m:rPr>
            <m:t>q</m:t>
          </m:r>
          <m:r>
            <m:rPr>
              <m:sty m:val="p"/>
            </m:rPr>
            <m:t>u</m:t>
          </m:r>
          <m:r>
            <m:rPr>
              <m:sty m:val="p"/>
            </m:rPr>
            <m:t>a</m:t>
          </m:r>
          <m:r>
            <m:rPr>
              <m:sty m:val="p"/>
            </m:rPr>
            <m:t>n</m:t>
          </m:r>
          <m:r>
            <m:rPr>
              <m:sty m:val="p"/>
            </m:rPr>
            <m:t>t</m:t>
          </m:r>
          <m:r>
            <m:rPr>
              <m:sty m:val="p"/>
            </m:rPr>
            <m:t>a</m:t>
          </m:r>
          <m:r>
            <m:rPr>
              <m:sty m:val="p"/>
            </m:rPr>
            <m:t>=</m:t>
          </m:r>
          <m:r>
            <m:t>1</m:t>
          </m:r>
          <m:r>
            <m:t> </m:t>
          </m:r>
          <m:r>
            <m:rPr>
              <m:sty m:val="p"/>
            </m:rPr>
            <m:t>a</m:t>
          </m:r>
          <m:r>
            <m:rPr>
              <m:sty m:val="p"/>
            </m:rPr>
            <m:t>t</m:t>
          </m:r>
          <m:r>
            <m:rPr>
              <m:sty m:val="p"/>
            </m:rPr>
            <m:t>o</m:t>
          </m:r>
          <m:r>
            <m:rPr>
              <m:sty m:val="p"/>
            </m:rPr>
            <m:t>m</m:t>
          </m:r>
          <m:r>
            <m:rPr>
              <m:sty m:val="p"/>
            </m:rPr>
            <m:t>.</m:t>
          </m:r>
        </m:oMath>
      </m:oMathPara>
    </w:p>
    <w:p>
      <w:pPr>
        <w:pStyle w:val="FirstParagraph"/>
      </w:pPr>
      <w:r>
        <w:t xml:space="preserve">If the participant budget is</w:t>
      </w:r>
      <w:r>
        <w:t xml:space="preserve"> </w:t>
      </w:r>
      <m:oMath>
        <m:sSub>
          <m:e>
            <m:r>
              <m:t>B</m:t>
            </m:r>
          </m:e>
          <m:sub>
            <m:r>
              <m:t>p</m:t>
            </m:r>
          </m:sub>
        </m:sSub>
      </m:oMath>
      <w:r>
        <w:t xml:space="preserve"> </w:t>
      </w:r>
      <w:r>
        <w:t xml:space="preserve">atoms, then the exact budget in entitlement quanta is</w:t>
      </w:r>
    </w:p>
    <w:p>
      <w:pPr>
        <w:pStyle w:val="BodyText"/>
      </w:pPr>
      <m:oMathPara>
        <m:oMathParaPr>
          <m:jc m:val="center"/>
        </m:oMathParaPr>
        <m:oMath>
          <m:sSub>
            <m:e>
              <m:r>
                <m:t>Q</m:t>
              </m:r>
            </m:e>
            <m:sub>
              <m:r>
                <m:t>p</m:t>
              </m:r>
            </m:sub>
          </m:sSub>
          <m:r>
            <m:rPr>
              <m:sty m:val="p"/>
            </m:rPr>
            <m:t>=</m:t>
          </m:r>
          <m:r>
            <m:t>D</m:t>
          </m:r>
          <m:r>
            <m:t> </m:t>
          </m:r>
          <m:sSub>
            <m:e>
              <m:r>
                <m:t>B</m:t>
              </m:r>
            </m:e>
            <m:sub>
              <m:r>
                <m:t>p</m:t>
              </m:r>
            </m:sub>
          </m:sSub>
          <m:r>
            <m:rPr>
              <m:sty m:val="p"/>
            </m:rPr>
            <m:t>.</m:t>
          </m:r>
        </m:oMath>
      </m:oMathPara>
    </w:p>
    <w:p>
      <w:pPr>
        <w:pStyle w:val="FirstParagraph"/>
      </w:pPr>
      <w:r>
        <w:t xml:space="preserve">When</w:t>
      </w:r>
      <w:r>
        <w:t xml:space="preserve"> </w:t>
      </w:r>
      <m:oMath>
        <m:r>
          <m:t>n</m:t>
        </m:r>
        <m:r>
          <m:rPr>
            <m:sty m:val="p"/>
          </m:rPr>
          <m:t>≤</m:t>
        </m:r>
        <m:r>
          <m:t>M</m:t>
        </m:r>
      </m:oMath>
      <w:r>
        <w:t xml:space="preserve"> </w:t>
      </w:r>
      <w:r>
        <w:t xml:space="preserve">new entitlement units are created, crediting</w:t>
      </w:r>
      <w:r>
        <w:t xml:space="preserve"> </w:t>
      </w:r>
      <m:oMath>
        <m:sSub>
          <m:e>
            <m:r>
              <m:t>B</m:t>
            </m:r>
          </m:e>
          <m:sub>
            <m:r>
              <m:t>p</m:t>
            </m:r>
          </m:sub>
        </m:sSub>
      </m:oMath>
      <w:r>
        <w:t xml:space="preserve"> </w:t>
      </w:r>
      <w:r>
        <w:t xml:space="preserve">quanta per unit consumes</w:t>
      </w:r>
    </w:p>
    <w:p>
      <w:pPr>
        <w:pStyle w:val="BodyText"/>
      </w:pPr>
      <m:oMathPara>
        <m:oMathParaPr>
          <m:jc m:val="center"/>
        </m:oMathParaPr>
        <m:oMath>
          <m:r>
            <m:t>n</m:t>
          </m:r>
          <m:sSub>
            <m:e>
              <m:r>
                <m:t>B</m:t>
              </m:r>
            </m:e>
            <m:sub>
              <m:r>
                <m:t>p</m:t>
              </m:r>
            </m:sub>
          </m:sSub>
          <m:r>
            <m:rPr>
              <m:sty m:val="p"/>
            </m:rPr>
            <m:t>≤</m:t>
          </m:r>
          <m:r>
            <m:t>M</m:t>
          </m:r>
          <m:sSub>
            <m:e>
              <m:r>
                <m:t>B</m:t>
              </m:r>
            </m:e>
            <m:sub>
              <m:r>
                <m:t>p</m:t>
              </m:r>
            </m:sub>
          </m:sSub>
          <m:r>
            <m:rPr>
              <m:sty m:val="p"/>
            </m:rPr>
            <m:t>=</m:t>
          </m:r>
          <m:r>
            <m:t>D</m:t>
          </m:r>
          <m:sSub>
            <m:e>
              <m:r>
                <m:t>B</m:t>
              </m:r>
            </m:e>
            <m:sub>
              <m:r>
                <m:t>p</m:t>
              </m:r>
            </m:sub>
          </m:sSub>
          <m:r>
            <m:rPr>
              <m:sty m:val="p"/>
            </m:rPr>
            <m:t>=</m:t>
          </m:r>
          <m:sSub>
            <m:e>
              <m:r>
                <m:t>Q</m:t>
              </m:r>
            </m:e>
            <m:sub>
              <m:r>
                <m:t>p</m:t>
              </m:r>
            </m:sub>
          </m:sSub>
          <m:r>
            <m:rPr>
              <m:sty m:val="p"/>
            </m:rPr>
            <m:t>.</m:t>
          </m:r>
        </m:oMath>
      </m:oMathPara>
    </w:p>
    <w:p>
      <w:pPr>
        <w:pStyle w:val="FirstParagraph"/>
      </w:pPr>
      <w:r>
        <w:t xml:space="preserve">At the hard cap, conservation is an exact integer identity. Underfill remains participant reserve rather than increasing another receipt’s entitlement.</w:t>
      </w:r>
    </w:p>
    <w:p>
      <w:pPr>
        <w:pStyle w:val="BodyText"/>
      </w:pPr>
      <w:r>
        <w:t xml:space="preserve">Each owner has one authenticated carry balance</w:t>
      </w:r>
    </w:p>
    <w:p>
      <w:pPr>
        <w:pStyle w:val="BodyText"/>
      </w:pPr>
      <m:oMathPara>
        <m:oMathParaPr>
          <m:jc m:val="center"/>
        </m:oMathParaPr>
        <m:oMath>
          <m:r>
            <m:rPr>
              <m:sty m:val="p"/>
            </m:rPr>
            <m:t>o</m:t>
          </m:r>
          <m:r>
            <m:rPr>
              <m:sty m:val="p"/>
            </m:rPr>
            <m:t>w</m:t>
          </m:r>
          <m:r>
            <m:rPr>
              <m:sty m:val="p"/>
            </m:rPr>
            <m:t>n</m:t>
          </m:r>
          <m:r>
            <m:rPr>
              <m:sty m:val="p"/>
            </m:rPr>
            <m:t>e</m:t>
          </m:r>
          <m:r>
            <m:rPr>
              <m:sty m:val="p"/>
            </m:rPr>
            <m:t>r</m:t>
          </m:r>
          <m:r>
            <m:rPr>
              <m:sty m:val="p"/>
            </m:rPr>
            <m:t>_</m:t>
          </m:r>
          <m:r>
            <m:rPr>
              <m:sty m:val="p"/>
            </m:rPr>
            <m:t>i</m:t>
          </m:r>
          <m:r>
            <m:rPr>
              <m:sty m:val="p"/>
            </m:rPr>
            <m:t>d</m:t>
          </m:r>
          <m:r>
            <m:rPr>
              <m:sty m:val="p"/>
            </m:rPr>
            <m:t>↦</m:t>
          </m:r>
          <m:sSub>
            <m:e>
              <m:r>
                <m:t>q</m:t>
              </m:r>
            </m:e>
            <m:sub>
              <m:r>
                <m:rPr>
                  <m:sty m:val="p"/>
                </m:rPr>
                <m:t>c</m:t>
              </m:r>
              <m:r>
                <m:rPr>
                  <m:sty m:val="p"/>
                </m:rPr>
                <m:t>a</m:t>
              </m:r>
              <m:r>
                <m:rPr>
                  <m:sty m:val="p"/>
                </m:rPr>
                <m:t>r</m:t>
              </m:r>
              <m:r>
                <m:rPr>
                  <m:sty m:val="p"/>
                </m:rPr>
                <m:t>r</m:t>
              </m:r>
              <m:r>
                <m:rPr>
                  <m:sty m:val="p"/>
                </m:rPr>
                <m:t>y</m:t>
              </m:r>
            </m:sub>
          </m:sSub>
          <m:r>
            <m:rPr>
              <m:sty m:val="p"/>
            </m:rPr>
            <m:t>.</m:t>
          </m:r>
        </m:oMath>
      </m:oMathPara>
    </w:p>
    <w:p>
      <w:pPr>
        <w:pStyle w:val="FirstParagraph"/>
      </w:pPr>
      <w:r>
        <w:t xml:space="preserve">Claiming converts</w:t>
      </w:r>
    </w:p>
    <w:p>
      <w:pPr>
        <w:pStyle w:val="BodyText"/>
      </w:pPr>
      <m:oMathPara>
        <m:oMathParaPr>
          <m:jc m:val="center"/>
        </m:oMathParaPr>
        <m:oMath>
          <m:r>
            <m:rPr>
              <m:sty m:val="p"/>
            </m:rPr>
            <m:t>c</m:t>
          </m:r>
          <m:r>
            <m:rPr>
              <m:sty m:val="p"/>
            </m:rPr>
            <m:t>l</m:t>
          </m:r>
          <m:r>
            <m:rPr>
              <m:sty m:val="p"/>
            </m:rPr>
            <m:t>a</m:t>
          </m:r>
          <m:r>
            <m:rPr>
              <m:sty m:val="p"/>
            </m:rPr>
            <m:t>i</m:t>
          </m:r>
          <m:r>
            <m:rPr>
              <m:sty m:val="p"/>
            </m:rPr>
            <m:t>m</m:t>
          </m:r>
          <m:r>
            <m:rPr>
              <m:sty m:val="p"/>
            </m:rPr>
            <m:t>a</m:t>
          </m:r>
          <m:r>
            <m:rPr>
              <m:sty m:val="p"/>
            </m:rPr>
            <m:t>b</m:t>
          </m:r>
          <m:r>
            <m:rPr>
              <m:sty m:val="p"/>
            </m:rPr>
            <m:t>l</m:t>
          </m:r>
          <m:r>
            <m:rPr>
              <m:sty m:val="p"/>
            </m:rPr>
            <m:t>e</m:t>
          </m:r>
          <m:r>
            <m:rPr>
              <m:sty m:val="p"/>
            </m:rPr>
            <m:t>_</m:t>
          </m:r>
          <m:r>
            <m:rPr>
              <m:sty m:val="p"/>
            </m:rPr>
            <m:t>a</m:t>
          </m:r>
          <m:r>
            <m:rPr>
              <m:sty m:val="p"/>
            </m:rPr>
            <m:t>t</m:t>
          </m:r>
          <m:r>
            <m:rPr>
              <m:sty m:val="p"/>
            </m:rPr>
            <m:t>o</m:t>
          </m:r>
          <m:r>
            <m:rPr>
              <m:sty m:val="p"/>
            </m:rPr>
            <m:t>m</m:t>
          </m:r>
          <m:r>
            <m:rPr>
              <m:sty m:val="p"/>
            </m:rPr>
            <m:t>s</m:t>
          </m:r>
          <m:r>
            <m:rPr>
              <m:sty m:val="p"/>
            </m:rPr>
            <m:t>=</m:t>
          </m:r>
          <m:r>
            <m:rPr>
              <m:sty m:val="p"/>
            </m:rPr>
            <m:t>f</m:t>
          </m:r>
          <m:r>
            <m:rPr>
              <m:sty m:val="p"/>
            </m:rPr>
            <m:t>l</m:t>
          </m:r>
          <m:r>
            <m:rPr>
              <m:sty m:val="p"/>
            </m:rPr>
            <m:t>o</m:t>
          </m:r>
          <m:r>
            <m:rPr>
              <m:sty m:val="p"/>
            </m:rPr>
            <m:t>o</m:t>
          </m:r>
          <m:r>
            <m:rPr>
              <m:sty m:val="p"/>
            </m:rPr>
            <m:t>r</m:t>
          </m:r>
          <m:r>
            <m:t>​</m:t>
          </m:r>
          <m:d>
            <m:dPr>
              <m:begChr m:val="("/>
              <m:endChr m:val=")"/>
              <m:sepChr m:val=""/>
              <m:grow/>
            </m:dPr>
            <m:e>
              <m:f>
                <m:fPr>
                  <m:type m:val="bar"/>
                </m:fPr>
                <m:num>
                  <m:sSub>
                    <m:e>
                      <m:r>
                        <m:t>q</m:t>
                      </m:r>
                    </m:e>
                    <m:sub>
                      <m:r>
                        <m:rPr>
                          <m:sty m:val="p"/>
                        </m:rPr>
                        <m:t>c</m:t>
                      </m:r>
                      <m:r>
                        <m:rPr>
                          <m:sty m:val="p"/>
                        </m:rPr>
                        <m:t>a</m:t>
                      </m:r>
                      <m:r>
                        <m:rPr>
                          <m:sty m:val="p"/>
                        </m:rPr>
                        <m:t>r</m:t>
                      </m:r>
                      <m:r>
                        <m:rPr>
                          <m:sty m:val="p"/>
                        </m:rPr>
                        <m:t>r</m:t>
                      </m:r>
                      <m:r>
                        <m:rPr>
                          <m:sty m:val="p"/>
                        </m:rPr>
                        <m:t>y</m:t>
                      </m:r>
                    </m:sub>
                  </m:sSub>
                </m:num>
                <m:den>
                  <m:r>
                    <m:t>D</m:t>
                  </m:r>
                </m:den>
              </m:f>
            </m:e>
          </m:d>
          <m:r>
            <m:rPr>
              <m:sty m:val="p"/>
            </m:rPr>
            <m:t>,</m:t>
          </m:r>
        </m:oMath>
      </m:oMathPara>
    </w:p>
    <w:p>
      <w:pPr>
        <w:pStyle w:val="FirstParagraph"/>
      </w:pPr>
      <m:oMathPara>
        <m:oMathParaPr>
          <m:jc m:val="center"/>
        </m:oMathParaPr>
        <m:oMath>
          <m:sSub>
            <m:e>
              <m:r>
                <m:t>q</m:t>
              </m:r>
            </m:e>
            <m:sub>
              <m:r>
                <m:rPr>
                  <m:sty m:val="p"/>
                </m:rPr>
                <m:t>r</m:t>
              </m:r>
              <m:r>
                <m:rPr>
                  <m:sty m:val="p"/>
                </m:rPr>
                <m:t>e</m:t>
              </m:r>
              <m:r>
                <m:rPr>
                  <m:sty m:val="p"/>
                </m:rPr>
                <m:t>m</m:t>
              </m:r>
              <m:r>
                <m:rPr>
                  <m:sty m:val="p"/>
                </m:rPr>
                <m:t>a</m:t>
              </m:r>
              <m:r>
                <m:rPr>
                  <m:sty m:val="p"/>
                </m:rPr>
                <m:t>i</m:t>
              </m:r>
              <m:r>
                <m:rPr>
                  <m:sty m:val="p"/>
                </m:rPr>
                <m:t>n</m:t>
              </m:r>
              <m:r>
                <m:rPr>
                  <m:sty m:val="p"/>
                </m:rPr>
                <m:t>d</m:t>
              </m:r>
              <m:r>
                <m:rPr>
                  <m:sty m:val="p"/>
                </m:rPr>
                <m:t>e</m:t>
              </m:r>
              <m:r>
                <m:rPr>
                  <m:sty m:val="p"/>
                </m:rPr>
                <m:t>r</m:t>
              </m:r>
            </m:sub>
          </m:sSub>
          <m:r>
            <m:rPr>
              <m:sty m:val="p"/>
            </m:rPr>
            <m:t>=</m:t>
          </m:r>
          <m:sSub>
            <m:e>
              <m:r>
                <m:t>q</m:t>
              </m:r>
            </m:e>
            <m:sub>
              <m:r>
                <m:rPr>
                  <m:sty m:val="p"/>
                </m:rPr>
                <m:t>c</m:t>
              </m:r>
              <m:r>
                <m:rPr>
                  <m:sty m:val="p"/>
                </m:rPr>
                <m:t>a</m:t>
              </m:r>
              <m:r>
                <m:rPr>
                  <m:sty m:val="p"/>
                </m:rPr>
                <m:t>r</m:t>
              </m:r>
              <m:r>
                <m:rPr>
                  <m:sty m:val="p"/>
                </m:rPr>
                <m:t>r</m:t>
              </m:r>
              <m:r>
                <m:rPr>
                  <m:sty m:val="p"/>
                </m:rPr>
                <m:t>y</m:t>
              </m:r>
            </m:sub>
          </m:sSub>
          <m:r>
            <m:t> </m:t>
          </m:r>
          <m:r>
            <m:rPr>
              <m:sty m:val="p"/>
            </m:rPr>
            <m:t>mod</m:t>
          </m:r>
          <m:r>
            <m:t> </m:t>
          </m:r>
          <m:r>
            <m:t>D</m:t>
          </m:r>
          <m:r>
            <m:rPr>
              <m:sty m:val="p"/>
            </m:rPr>
            <m:t>.</m:t>
          </m:r>
        </m:oMath>
      </m:oMathPara>
    </w:p>
    <w:p>
      <w:pPr>
        <w:pStyle w:val="FirstParagraph"/>
      </w:pPr>
      <w:r>
        <w:t xml:space="preserve">The remainder remains owner-bound; nonzero carry cannot be discarded as a pruning shortcut.</w:t>
      </w:r>
    </w:p>
    <w:bookmarkEnd w:id="48"/>
    <w:bookmarkEnd w:id="49"/>
    <w:bookmarkStart w:id="57" w:name="proving-and-verifying-work"/>
    <w:p>
      <w:pPr>
        <w:pStyle w:val="Heading2"/>
      </w:pPr>
      <w:r>
        <w:t xml:space="preserve">7. Proving and Verifying Work</w:t>
      </w:r>
    </w:p>
    <w:p>
      <w:pPr>
        <w:pStyle w:val="FirstParagraph"/>
      </w:pPr>
      <w:r>
        <w:t xml:space="preserve">The fundamental BitFP separation is</w:t>
      </w:r>
    </w:p>
    <w:p>
      <w:pPr>
        <w:pStyle w:val="BodyText"/>
      </w:pPr>
      <m:oMathPara>
        <m:oMathParaPr>
          <m:jc m:val="center"/>
        </m:oMathParaPr>
        <m:oMath>
          <m:r>
            <m:rPr>
              <m:nor/>
              <m:sty m:val="p"/>
            </m:rPr>
            <m:t>expensive work generation</m:t>
          </m:r>
          <m:r>
            <m:rPr>
              <m:sty m:val="p"/>
            </m:rPr>
            <m:t>≠</m:t>
          </m:r>
          <m:r>
            <m:rPr>
              <m:nor/>
              <m:sty m:val="p"/>
            </m:rPr>
            <m:t>ordinary full validation</m:t>
          </m:r>
          <m:r>
            <m:rPr>
              <m:sty m:val="p"/>
            </m:rPr>
            <m:t>.</m:t>
          </m:r>
        </m:oMath>
      </m:oMathPara>
    </w:p>
    <w:p>
      <w:pPr>
        <w:pStyle w:val="FirstParagraph"/>
      </w:pPr>
      <w:r>
        <w:t xml:space="preserve">Let</w:t>
      </w:r>
      <w:r>
        <w:t xml:space="preserve"> </w:t>
      </w:r>
      <m:oMath>
        <m:r>
          <m:t>x</m:t>
        </m:r>
      </m:oMath>
      <w:r>
        <w:t xml:space="preserve"> </w:t>
      </w:r>
      <w:r>
        <w:t xml:space="preserve">denote the public statement and</w:t>
      </w:r>
      <w:r>
        <w:t xml:space="preserve"> </w:t>
      </w:r>
      <m:oMath>
        <m:r>
          <m:t>w</m:t>
        </m:r>
      </m:oMath>
      <w:r>
        <w:t xml:space="preserve"> </w:t>
      </w:r>
      <w:r>
        <w:t xml:space="preserve">the private witness. The frozen C1 language can be written abstractly as</w:t>
      </w:r>
    </w:p>
    <w:p>
      <w:pPr>
        <w:pStyle w:val="BodyText"/>
      </w:pPr>
      <m:oMathPara>
        <m:oMathParaPr>
          <m:jc m:val="center"/>
        </m:oMathParaPr>
        <m:oMath>
          <m:sSub>
            <m:e>
              <m:r>
                <m:rPr>
                  <m:sty m:val="p"/>
                  <m:scr m:val="script"/>
                </m:rPr>
                <m:t>R</m:t>
              </m:r>
            </m:e>
            <m:sub>
              <m:r>
                <m:rPr>
                  <m:sty m:val="p"/>
                </m:rPr>
                <m:t>B</m:t>
              </m:r>
              <m:r>
                <m:rPr>
                  <m:sty m:val="p"/>
                </m:rPr>
                <m:t>i</m:t>
              </m:r>
              <m:r>
                <m:rPr>
                  <m:sty m:val="p"/>
                </m:rPr>
                <m:t>t</m:t>
              </m:r>
              <m:r>
                <m:rPr>
                  <m:sty m:val="p"/>
                </m:rPr>
                <m:t>F</m:t>
              </m:r>
              <m:r>
                <m:rPr>
                  <m:sty m:val="p"/>
                </m:rPr>
                <m:t>P</m:t>
              </m:r>
            </m:sub>
          </m:sSub>
          <m:d>
            <m:dPr>
              <m:begChr m:val="("/>
              <m:endChr m:val=")"/>
              <m:sepChr m:val=""/>
              <m:grow/>
            </m:dPr>
            <m:e>
              <m:r>
                <m:t>x</m:t>
              </m:r>
              <m:r>
                <m:rPr>
                  <m:sty m:val="p"/>
                </m:rPr>
                <m:t>,</m:t>
              </m:r>
              <m:r>
                <m:t>w</m:t>
              </m:r>
            </m:e>
          </m:d>
          <m:r>
            <m:rPr>
              <m:sty m:val="p"/>
            </m:rPr>
            <m:t>=</m:t>
          </m:r>
          <m:r>
            <m:t>1</m:t>
          </m:r>
          <m:r>
            <m:rPr>
              <m:sty m:val="p"/>
            </m:rPr>
            <m:t>.</m:t>
          </m:r>
        </m:oMath>
      </m:oMathPara>
    </w:p>
    <w:p>
      <w:pPr>
        <w:pStyle w:val="FirstParagraph"/>
      </w:pPr>
      <w:r>
        <w:t xml:space="preserve">The statement</w:t>
      </w:r>
      <w:r>
        <w:t xml:space="preserve"> </w:t>
      </w:r>
      <m:oMath>
        <m:r>
          <m:t>x</m:t>
        </m:r>
      </m:oMath>
      <w:r>
        <w:t xml:space="preserve"> </w:t>
      </w:r>
      <w:r>
        <w:t xml:space="preserve">binds the frozen parameter identities, relation/compiler context, WorkStatement and block context, dataset identity, and the public commitments required by the final relation. The witness</w:t>
      </w:r>
      <w:r>
        <w:t xml:space="preserve"> </w:t>
      </w:r>
      <m:oMath>
        <m:r>
          <m:t>w</m:t>
        </m:r>
      </m:oMath>
      <w:r>
        <w:t xml:space="preserve"> </w:t>
      </w:r>
      <w:r>
        <w:t xml:space="preserve">contains the private execution trace and authenticated-read witness material.</w:t>
      </w:r>
    </w:p>
    <w:p>
      <w:pPr>
        <w:pStyle w:val="BodyText"/>
      </w:pPr>
      <w:r>
        <w:t xml:space="preserve">A prover computes</w:t>
      </w:r>
    </w:p>
    <w:p>
      <w:pPr>
        <w:pStyle w:val="BodyText"/>
      </w:pPr>
      <m:oMathPara>
        <m:oMathParaPr>
          <m:jc m:val="center"/>
        </m:oMathParaPr>
        <m:oMath>
          <m:r>
            <m:t>π</m:t>
          </m:r>
          <m:r>
            <m:rPr>
              <m:sty m:val="p"/>
            </m:rPr>
            <m:t>←</m:t>
          </m:r>
          <m:r>
            <m:rPr>
              <m:sty m:val="p"/>
            </m:rPr>
            <m:t>P</m:t>
          </m:r>
          <m:r>
            <m:rPr>
              <m:sty m:val="p"/>
            </m:rPr>
            <m:t>r</m:t>
          </m:r>
          <m:r>
            <m:rPr>
              <m:sty m:val="p"/>
            </m:rPr>
            <m:t>o</m:t>
          </m:r>
          <m:r>
            <m:rPr>
              <m:sty m:val="p"/>
            </m:rPr>
            <m:t>v</m:t>
          </m:r>
          <m:r>
            <m:rPr>
              <m:sty m:val="p"/>
            </m:rPr>
            <m:t>e</m:t>
          </m:r>
          <m:d>
            <m:dPr>
              <m:begChr m:val="("/>
              <m:endChr m:val=")"/>
              <m:sepChr m:val=""/>
              <m:grow/>
            </m:dPr>
            <m:e>
              <m:r>
                <m:t>p</m:t>
              </m:r>
              <m:r>
                <m:t>p</m:t>
              </m:r>
              <m:r>
                <m:rPr>
                  <m:sty m:val="p"/>
                </m:rPr>
                <m:t>,</m:t>
              </m:r>
              <m:r>
                <m:t>x</m:t>
              </m:r>
              <m:r>
                <m:rPr>
                  <m:sty m:val="p"/>
                </m:rPr>
                <m:t>,</m:t>
              </m:r>
              <m:r>
                <m:t>w</m:t>
              </m:r>
            </m:e>
          </m:d>
          <m:r>
            <m:rPr>
              <m:sty m:val="p"/>
            </m:rPr>
            <m:t>,</m:t>
          </m:r>
        </m:oMath>
      </m:oMathPara>
    </w:p>
    <w:p>
      <w:pPr>
        <w:pStyle w:val="FirstParagraph"/>
      </w:pPr>
      <w:r>
        <w:t xml:space="preserve">and a validator checks</w:t>
      </w:r>
    </w:p>
    <w:p>
      <w:pPr>
        <w:pStyle w:val="BodyText"/>
      </w:pPr>
      <m:oMathPara>
        <m:oMathParaPr>
          <m:jc m:val="center"/>
        </m:oMathParaPr>
        <m:oMath>
          <m:r>
            <m:rPr>
              <m:sty m:val="p"/>
            </m:rPr>
            <m:t>V</m:t>
          </m:r>
          <m:r>
            <m:rPr>
              <m:sty m:val="p"/>
            </m:rPr>
            <m:t>e</m:t>
          </m:r>
          <m:r>
            <m:rPr>
              <m:sty m:val="p"/>
            </m:rPr>
            <m:t>r</m:t>
          </m:r>
          <m:r>
            <m:rPr>
              <m:sty m:val="p"/>
            </m:rPr>
            <m:t>i</m:t>
          </m:r>
          <m:r>
            <m:rPr>
              <m:sty m:val="p"/>
            </m:rPr>
            <m:t>f</m:t>
          </m:r>
          <m:r>
            <m:rPr>
              <m:sty m:val="p"/>
            </m:rPr>
            <m:t>y</m:t>
          </m:r>
          <m:d>
            <m:dPr>
              <m:begChr m:val="("/>
              <m:endChr m:val=")"/>
              <m:sepChr m:val=""/>
              <m:grow/>
            </m:dPr>
            <m:e>
              <m:r>
                <m:t>v</m:t>
              </m:r>
              <m:r>
                <m:t>k</m:t>
              </m:r>
              <m:r>
                <m:rPr>
                  <m:sty m:val="p"/>
                </m:rPr>
                <m:t>,</m:t>
              </m:r>
              <m:r>
                <m:t>x</m:t>
              </m:r>
              <m:r>
                <m:rPr>
                  <m:sty m:val="p"/>
                </m:rPr>
                <m:t>,</m:t>
              </m:r>
              <m:r>
                <m:t>π</m:t>
              </m:r>
            </m:e>
          </m:d>
          <m:r>
            <m:rPr>
              <m:sty m:val="p"/>
            </m:rPr>
            <m:t>∈</m:t>
          </m:r>
          <m:r>
            <m:rPr>
              <m:sty m:val="p"/>
            </m:rPr>
            <m:t>{</m:t>
          </m:r>
          <m:r>
            <m:t>0</m:t>
          </m:r>
          <m:r>
            <m:rPr>
              <m:sty m:val="p"/>
            </m:rPr>
            <m:t>,</m:t>
          </m:r>
          <m:r>
            <m:t>1</m:t>
          </m:r>
          <m:r>
            <m:rPr>
              <m:sty m:val="p"/>
            </m:rPr>
            <m:t>}</m:t>
          </m:r>
          <m:r>
            <m:rPr>
              <m:sty m:val="p"/>
            </m:rPr>
            <m:t>.</m:t>
          </m:r>
        </m:oMath>
      </m:oMathPara>
    </w:p>
    <w:p>
      <w:pPr>
        <w:pStyle w:val="FirstParagraph"/>
      </w:pPr>
      <w:r>
        <w:t xml:space="preserve">Completeness requires that a correct witness for a true statement is accepted except for negligible implementation failure. Soundness requires that a false statement is accepted only with probability bounded by the final security ledger.</w:t>
      </w:r>
    </w:p>
    <w:bookmarkStart w:id="50" w:name="transition-relation"/>
    <w:p>
      <w:pPr>
        <w:pStyle w:val="Heading3"/>
      </w:pPr>
      <w:r>
        <w:t xml:space="preserve">7.1 Transition relation</w:t>
      </w:r>
    </w:p>
    <w:p>
      <w:pPr>
        <w:pStyle w:val="FirstParagraph"/>
      </w:pPr>
      <w:r>
        <w:t xml:space="preserve">Let</w:t>
      </w:r>
      <w:r>
        <w:t xml:space="preserve"> </w:t>
      </w:r>
      <m:oMath>
        <m:sSub>
          <m:e>
            <m:r>
              <m:t>S</m:t>
            </m:r>
          </m:e>
          <m:sub>
            <m:r>
              <m:t>t</m:t>
            </m:r>
          </m:sub>
        </m:sSub>
      </m:oMath>
      <w:r>
        <w:t xml:space="preserve"> </w:t>
      </w:r>
      <w:r>
        <w:t xml:space="preserve">be the committed execution state at step</w:t>
      </w:r>
      <w:r>
        <w:t xml:space="preserve"> </w:t>
      </w:r>
      <m:oMath>
        <m:r>
          <m:t>t</m:t>
        </m:r>
      </m:oMath>
      <w:r>
        <w:t xml:space="preserve">. The transition lanes prove constraints of the form</w:t>
      </w:r>
    </w:p>
    <w:p>
      <w:pPr>
        <w:pStyle w:val="BodyText"/>
      </w:pPr>
      <m:oMathPara>
        <m:oMathParaPr>
          <m:jc m:val="center"/>
        </m:oMathParaPr>
        <m:oMath>
          <m:sSub>
            <m:e>
              <m:r>
                <m:t>S</m:t>
              </m:r>
            </m:e>
            <m:sub>
              <m:r>
                <m:t>t</m:t>
              </m:r>
              <m:r>
                <m:rPr>
                  <m:sty m:val="p"/>
                </m:rPr>
                <m:t>+</m:t>
              </m:r>
              <m:r>
                <m:t>1</m:t>
              </m:r>
            </m:sub>
          </m:sSub>
          <m:r>
            <m:rPr>
              <m:sty m:val="p"/>
            </m:rPr>
            <m:t>=</m:t>
          </m:r>
          <m:sSub>
            <m:e>
              <m:r>
                <m:t>F</m:t>
              </m:r>
            </m:e>
            <m:sub>
              <m:r>
                <m:rPr>
                  <m:sty m:val="p"/>
                </m:rPr>
                <m:t>P</m:t>
              </m:r>
              <m:r>
                <m:rPr>
                  <m:sty m:val="p"/>
                </m:rPr>
                <m:t>o</m:t>
              </m:r>
              <m:r>
                <m:rPr>
                  <m:sty m:val="p"/>
                </m:rPr>
                <m:t>W</m:t>
              </m:r>
            </m:sub>
          </m:sSub>
          <m:d>
            <m:dPr>
              <m:begChr m:val="("/>
              <m:endChr m:val=")"/>
              <m:sepChr m:val=""/>
              <m:grow/>
            </m:dPr>
            <m:e>
              <m:sSub>
                <m:e>
                  <m:r>
                    <m:t>S</m:t>
                  </m:r>
                </m:e>
                <m:sub>
                  <m:r>
                    <m:t>t</m:t>
                  </m:r>
                </m:sub>
              </m:sSub>
              <m:r>
                <m:rPr>
                  <m:sty m:val="p"/>
                </m:rPr>
                <m:t>,</m:t>
              </m:r>
              <m:sSub>
                <m:e>
                  <m:r>
                    <m:t>R</m:t>
                  </m:r>
                </m:e>
                <m:sub>
                  <m:r>
                    <m:t>t</m:t>
                  </m:r>
                </m:sub>
              </m:sSub>
              <m:r>
                <m:rPr>
                  <m:sty m:val="p"/>
                </m:rPr>
                <m:t>,</m:t>
              </m:r>
              <m:r>
                <m:t>θ</m:t>
              </m:r>
            </m:e>
          </m:d>
          <m:r>
            <m:rPr>
              <m:sty m:val="p"/>
            </m:rPr>
            <m:t>,</m:t>
          </m:r>
        </m:oMath>
      </m:oMathPara>
    </w:p>
    <w:p>
      <w:pPr>
        <w:pStyle w:val="FirstParagraph"/>
      </w:pPr>
      <w:r>
        <w:t xml:space="preserve">where</w:t>
      </w:r>
      <w:r>
        <w:t xml:space="preserve"> </w:t>
      </w:r>
      <m:oMath>
        <m:sSub>
          <m:e>
            <m:r>
              <m:t>R</m:t>
            </m:r>
          </m:e>
          <m:sub>
            <m:r>
              <m:t>t</m:t>
            </m:r>
          </m:sub>
        </m:sSub>
      </m:oMath>
      <w:r>
        <w:t xml:space="preserve"> </w:t>
      </w:r>
      <w:r>
        <w:t xml:space="preserve">is the read/input value consumed at that step and</w:t>
      </w:r>
      <w:r>
        <w:t xml:space="preserve"> </w:t>
      </w:r>
      <m:oMath>
        <m:r>
          <m:t>θ</m:t>
        </m:r>
      </m:oMath>
      <w:r>
        <w:t xml:space="preserve"> </w:t>
      </w:r>
      <w:r>
        <w:t xml:space="preserve">denotes frozen parameters. Core and auxiliary lanes split the arithmetization while preserving one relation identity.</w:t>
      </w:r>
    </w:p>
    <w:bookmarkEnd w:id="50"/>
    <w:bookmarkStart w:id="51" w:name="authenticated-dataset-lookup"/>
    <w:p>
      <w:pPr>
        <w:pStyle w:val="Heading3"/>
      </w:pPr>
      <w:r>
        <w:t xml:space="preserve">7.2 Authenticated dataset lookup</w:t>
      </w:r>
    </w:p>
    <w:p>
      <w:pPr>
        <w:pStyle w:val="FirstParagraph"/>
      </w:pPr>
      <w:r>
        <w:t xml:space="preserve">The lookup lanes prove that every requested pair</w:t>
      </w:r>
      <w:r>
        <w:t xml:space="preserve"> </w:t>
      </w:r>
      <m:oMath>
        <m:d>
          <m:dPr>
            <m:begChr m:val="("/>
            <m:endChr m:val=")"/>
            <m:sepChr m:val=""/>
            <m:grow/>
          </m:dPr>
          <m:e>
            <m:sSub>
              <m:e>
                <m:r>
                  <m:t>a</m:t>
                </m:r>
              </m:e>
              <m:sub>
                <m:r>
                  <m:t>i</m:t>
                </m:r>
              </m:sub>
            </m:sSub>
            <m:r>
              <m:rPr>
                <m:sty m:val="p"/>
              </m:rPr>
              <m:t>,</m:t>
            </m:r>
            <m:sSub>
              <m:e>
                <m:r>
                  <m:t>v</m:t>
                </m:r>
              </m:e>
              <m:sub>
                <m:r>
                  <m:t>i</m:t>
                </m:r>
              </m:sub>
            </m:sSub>
          </m:e>
        </m:d>
      </m:oMath>
      <w:r>
        <w:t xml:space="preserve"> </w:t>
      </w:r>
      <w:r>
        <w:t xml:space="preserve">corresponds to the canonical source-exact dataset table. The production implementation uses Fp4 LogUp.</w:t>
      </w:r>
    </w:p>
    <w:p>
      <w:pPr>
        <w:pStyle w:val="BodyText"/>
      </w:pPr>
      <w:r>
        <w:t xml:space="preserve">A useful schematic form of the logarithmic-derivative lookup identity is [6]</w:t>
      </w:r>
    </w:p>
    <w:p>
      <w:pPr>
        <w:pStyle w:val="BodyText"/>
      </w:pPr>
      <m:oMathPara>
        <m:oMathParaPr>
          <m:jc m:val="center"/>
        </m:oMathParaPr>
        <m:oMath>
          <m:nary>
            <m:naryPr>
              <m:chr m:val="∑"/>
              <m:limLoc m:val="undOvr"/>
              <m:subHide m:val="off"/>
              <m:supHide m:val="off"/>
            </m:naryPr>
            <m:sub>
              <m:r>
                <m:t>i</m:t>
              </m:r>
              <m:r>
                <m:rPr>
                  <m:sty m:val="p"/>
                </m:rPr>
                <m:t>=</m:t>
              </m:r>
              <m:r>
                <m:t>1</m:t>
              </m:r>
            </m:sub>
            <m:sup>
              <m:r>
                <m:t>P</m:t>
              </m:r>
            </m:sup>
            <m:e>
              <m:f>
                <m:fPr>
                  <m:type m:val="bar"/>
                </m:fPr>
                <m:num>
                  <m:r>
                    <m:t>1</m:t>
                  </m:r>
                </m:num>
                <m:den>
                  <m:r>
                    <m:t>β</m:t>
                  </m:r>
                  <m:r>
                    <m:rPr>
                      <m:sty m:val="p"/>
                    </m:rPr>
                    <m:t>+</m:t>
                  </m:r>
                  <m:sSub>
                    <m:e>
                      <m:r>
                        <m:t>q</m:t>
                      </m:r>
                    </m:e>
                    <m:sub>
                      <m:r>
                        <m:t>i</m:t>
                      </m:r>
                    </m:sub>
                  </m:sSub>
                </m:den>
              </m:f>
            </m:e>
          </m:nary>
          <m:r>
            <m:rPr>
              <m:sty m:val="p"/>
            </m:rPr>
            <m:t>=</m:t>
          </m:r>
          <m:nary>
            <m:naryPr>
              <m:chr m:val="∑"/>
              <m:limLoc m:val="undOvr"/>
              <m:subHide m:val="off"/>
              <m:supHide m:val="off"/>
            </m:naryPr>
            <m:sub>
              <m:r>
                <m:t>j</m:t>
              </m:r>
              <m:r>
                <m:rPr>
                  <m:sty m:val="p"/>
                </m:rPr>
                <m:t>=</m:t>
              </m:r>
              <m:r>
                <m:t>1</m:t>
              </m:r>
            </m:sub>
            <m:sup>
              <m:r>
                <m:t>N</m:t>
              </m:r>
            </m:sup>
            <m:e>
              <m:f>
                <m:fPr>
                  <m:type m:val="bar"/>
                </m:fPr>
                <m:num>
                  <m:sSub>
                    <m:e>
                      <m:r>
                        <m:t>m</m:t>
                      </m:r>
                    </m:e>
                    <m:sub>
                      <m:r>
                        <m:t>j</m:t>
                      </m:r>
                    </m:sub>
                  </m:sSub>
                </m:num>
                <m:den>
                  <m:r>
                    <m:t>β</m:t>
                  </m:r>
                  <m:r>
                    <m:rPr>
                      <m:sty m:val="p"/>
                    </m:rPr>
                    <m:t>+</m:t>
                  </m:r>
                  <m:sSub>
                    <m:e>
                      <m:r>
                        <m:t>t</m:t>
                      </m:r>
                    </m:e>
                    <m:sub>
                      <m:r>
                        <m:t>j</m:t>
                      </m:r>
                    </m:sub>
                  </m:sSub>
                </m:den>
              </m:f>
            </m:e>
          </m:nary>
          <m:r>
            <m:rPr>
              <m:sty m:val="p"/>
            </m:rPr>
            <m:t>,</m:t>
          </m:r>
        </m:oMath>
      </m:oMathPara>
    </w:p>
    <w:p>
      <w:pPr>
        <w:pStyle w:val="FirstParagraph"/>
      </w:pPr>
      <w:r>
        <w:t xml:space="preserve">where</w:t>
      </w:r>
      <w:r>
        <w:t xml:space="preserve"> </w:t>
      </w:r>
      <m:oMath>
        <m:sSub>
          <m:e>
            <m:r>
              <m:t>q</m:t>
            </m:r>
          </m:e>
          <m:sub>
            <m:r>
              <m:t>i</m:t>
            </m:r>
          </m:sub>
        </m:sSub>
      </m:oMath>
      <w:r>
        <w:t xml:space="preserve"> </w:t>
      </w:r>
      <w:r>
        <w:t xml:space="preserve">are compressed query values,</w:t>
      </w:r>
      <w:r>
        <w:t xml:space="preserve"> </w:t>
      </w:r>
      <m:oMath>
        <m:sSub>
          <m:e>
            <m:r>
              <m:t>t</m:t>
            </m:r>
          </m:e>
          <m:sub>
            <m:r>
              <m:t>j</m:t>
            </m:r>
          </m:sub>
        </m:sSub>
      </m:oMath>
      <w:r>
        <w:t xml:space="preserve"> </w:t>
      </w:r>
      <w:r>
        <w:t xml:space="preserve">are compressed authenticated table entries,</w:t>
      </w:r>
      <w:r>
        <w:t xml:space="preserve"> </w:t>
      </w:r>
      <m:oMath>
        <m:sSub>
          <m:e>
            <m:r>
              <m:t>m</m:t>
            </m:r>
          </m:e>
          <m:sub>
            <m:r>
              <m:t>j</m:t>
            </m:r>
          </m:sub>
        </m:sSub>
      </m:oMath>
      <w:r>
        <w:t xml:space="preserve"> </w:t>
      </w:r>
      <w:r>
        <w:t xml:space="preserve">are multiplicities, and</w:t>
      </w:r>
      <w:r>
        <w:t xml:space="preserve"> </w:t>
      </w:r>
      <m:oMath>
        <m:r>
          <m:t>β</m:t>
        </m:r>
      </m:oMath>
      <w:r>
        <w:t xml:space="preserve"> </w:t>
      </w:r>
      <w:r>
        <w:t xml:space="preserve">is a transcript challenge. If the query multiset is not represented in the table with the claimed multiplicities, the two rational functions differ; evaluating at a random challenge detects the false identity except with a field-size/degree-bounded probability.</w:t>
      </w:r>
    </w:p>
    <w:p>
      <w:pPr>
        <w:pStyle w:val="BodyText"/>
      </w:pPr>
      <w:r>
        <w:t xml:space="preserve">For a two-coordinate read</w:t>
      </w:r>
      <w:r>
        <w:t xml:space="preserve"> </w:t>
      </w:r>
      <m:oMath>
        <m:d>
          <m:dPr>
            <m:begChr m:val="("/>
            <m:endChr m:val=")"/>
            <m:sepChr m:val=""/>
            <m:grow/>
          </m:dPr>
          <m:e>
            <m:r>
              <m:t>a</m:t>
            </m:r>
            <m:r>
              <m:rPr>
                <m:sty m:val="p"/>
              </m:rPr>
              <m:t>,</m:t>
            </m:r>
            <m:r>
              <m:t>v</m:t>
            </m:r>
          </m:e>
        </m:d>
      </m:oMath>
      <w:r>
        <w:t xml:space="preserve">, a random linear combination may schematically compress the tuple as</w:t>
      </w:r>
    </w:p>
    <w:p>
      <w:pPr>
        <w:pStyle w:val="BodyText"/>
      </w:pPr>
      <m:oMathPara>
        <m:oMathParaPr>
          <m:jc m:val="center"/>
        </m:oMathParaPr>
        <m:oMath>
          <m:r>
            <m:t>q</m:t>
          </m:r>
          <m:r>
            <m:rPr>
              <m:sty m:val="p"/>
            </m:rPr>
            <m:t>=</m:t>
          </m:r>
          <m:r>
            <m:t>a</m:t>
          </m:r>
          <m:r>
            <m:rPr>
              <m:sty m:val="p"/>
            </m:rPr>
            <m:t>+</m:t>
          </m:r>
          <m:r>
            <m:t>α</m:t>
          </m:r>
          <m:r>
            <m:t>v</m:t>
          </m:r>
          <m:r>
            <m:rPr>
              <m:sty m:val="p"/>
            </m:rPr>
            <m:t>,</m:t>
          </m:r>
        </m:oMath>
      </m:oMathPara>
    </w:p>
    <w:p>
      <w:pPr>
        <w:pStyle w:val="FirstParagraph"/>
      </w:pPr>
      <w:r>
        <w:t xml:space="preserve">with transcript challenge</w:t>
      </w:r>
      <w:r>
        <w:t xml:space="preserve"> </w:t>
      </w:r>
      <m:oMath>
        <m:r>
          <m:t>α</m:t>
        </m:r>
      </m:oMath>
      <w:r>
        <w:t xml:space="preserve">, before the LogUp identity is checked. The byte-exact frozen implementation is normative; these equations explain the algebraic principle.</w:t>
      </w:r>
    </w:p>
    <w:bookmarkEnd w:id="51"/>
    <w:bookmarkStart w:id="52" w:name="why-a-lookup-proof-is-not-enough"/>
    <w:p>
      <w:pPr>
        <w:pStyle w:val="Heading3"/>
      </w:pPr>
      <w:r>
        <w:t xml:space="preserve">7.3 Why a lookup proof is not enough</w:t>
      </w:r>
    </w:p>
    <w:p>
      <w:pPr>
        <w:pStyle w:val="FirstParagraph"/>
      </w:pPr>
      <w:r>
        <w:t xml:space="preserve">A prover could, in principle, prove that some values exist in the dataset while using different values in the transition. Therefore the transition and lookup claims must be linked.</w:t>
      </w:r>
    </w:p>
    <w:p>
      <w:pPr>
        <w:pStyle w:val="BodyText"/>
      </w:pPr>
      <w:r>
        <w:t xml:space="preserve">Let</w:t>
      </w:r>
      <w:r>
        <w:t xml:space="preserve"> </w:t>
      </w:r>
      <m:oMath>
        <m:sSub>
          <m:e>
            <m:r>
              <m:t>f</m:t>
            </m:r>
          </m:e>
          <m:sub>
            <m:r>
              <m:t>T</m:t>
            </m:r>
          </m:sub>
        </m:sSub>
        <m:d>
          <m:dPr>
            <m:begChr m:val="("/>
            <m:endChr m:val=")"/>
            <m:sepChr m:val=""/>
            <m:grow/>
          </m:dPr>
          <m:e>
            <m:r>
              <m:t>X</m:t>
            </m:r>
          </m:e>
        </m:d>
      </m:oMath>
      <w:r>
        <w:t xml:space="preserve"> </w:t>
      </w:r>
      <w:r>
        <w:t xml:space="preserve">commit the transition-side read claims and</w:t>
      </w:r>
      <w:r>
        <w:t xml:space="preserve"> </w:t>
      </w:r>
      <m:oMath>
        <m:sSub>
          <m:e>
            <m:r>
              <m:t>f</m:t>
            </m:r>
          </m:e>
          <m:sub>
            <m:r>
              <m:t>L</m:t>
            </m:r>
          </m:sub>
        </m:sSub>
        <m:d>
          <m:dPr>
            <m:begChr m:val="("/>
            <m:endChr m:val=")"/>
            <m:sepChr m:val=""/>
            <m:grow/>
          </m:dPr>
          <m:e>
            <m:r>
              <m:t>X</m:t>
            </m:r>
          </m:e>
        </m:d>
      </m:oMath>
      <w:r>
        <w:t xml:space="preserve"> </w:t>
      </w:r>
      <w:r>
        <w:t xml:space="preserve">commit the lookup-side claims. At a transcript-derived challenge</w:t>
      </w:r>
      <w:r>
        <w:t xml:space="preserve"> </w:t>
      </w:r>
      <m:oMath>
        <m:r>
          <m:t>ζ</m:t>
        </m:r>
      </m:oMath>
      <w:r>
        <w:t xml:space="preserve">, the PCS cross-opening verifies both commitments and requires</w:t>
      </w:r>
    </w:p>
    <w:p>
      <w:pPr>
        <w:pStyle w:val="BodyText"/>
      </w:pPr>
      <m:oMathPara>
        <m:oMathParaPr>
          <m:jc m:val="center"/>
        </m:oMathParaPr>
        <m:oMath>
          <m:sSub>
            <m:e>
              <m:r>
                <m:t>f</m:t>
              </m:r>
            </m:e>
            <m:sub>
              <m:r>
                <m:t>T</m:t>
              </m:r>
            </m:sub>
          </m:sSub>
          <m:d>
            <m:dPr>
              <m:begChr m:val="("/>
              <m:endChr m:val=")"/>
              <m:sepChr m:val=""/>
              <m:grow/>
            </m:dPr>
            <m:e>
              <m:r>
                <m:t>ζ</m:t>
              </m:r>
            </m:e>
          </m:d>
          <m:r>
            <m:rPr>
              <m:sty m:val="p"/>
            </m:rPr>
            <m:t>=</m:t>
          </m:r>
          <m:sSub>
            <m:e>
              <m:r>
                <m:t>f</m:t>
              </m:r>
            </m:e>
            <m:sub>
              <m:r>
                <m:t>L</m:t>
              </m:r>
            </m:sub>
          </m:sSub>
          <m:d>
            <m:dPr>
              <m:begChr m:val="("/>
              <m:endChr m:val=")"/>
              <m:sepChr m:val=""/>
              <m:grow/>
            </m:dPr>
            <m:e>
              <m:r>
                <m:t>ζ</m:t>
              </m:r>
            </m:e>
          </m:d>
          <m:r>
            <m:rPr>
              <m:sty m:val="p"/>
            </m:rPr>
            <m:t>.</m:t>
          </m:r>
        </m:oMath>
      </m:oMathPara>
    </w:p>
    <w:p>
      <w:pPr>
        <w:pStyle w:val="FirstParagraph"/>
      </w:pPr>
      <w:r>
        <w:t xml:space="preserve">In practice the frozen protocol uses transcript-bound polynomial-commitment openings and random linear combinations across the relevant columns. The important invariant is that the values consumed by the transition are the same values authenticated by the lookup relation.</w:t>
      </w:r>
    </w:p>
    <w:bookmarkEnd w:id="52"/>
    <w:bookmarkStart w:id="56" w:name="six-lane-production-package"/>
    <w:p>
      <w:pPr>
        <w:pStyle w:val="Heading3"/>
      </w:pPr>
      <w:r>
        <w:t xml:space="preserve">7.4 Six-lane production package</w:t>
      </w:r>
    </w:p>
    <w:p>
      <w:pPr>
        <w:pStyle w:val="FirstParagraph"/>
      </w:pPr>
      <w:r>
        <w:t xml:space="preserve">The complete package is</w:t>
      </w:r>
    </w:p>
    <w:p>
      <w:pPr>
        <w:pStyle w:val="BodyText"/>
      </w:pPr>
      <m:oMathPara>
        <m:oMathParaPr>
          <m:jc m:val="center"/>
        </m:oMathParaPr>
        <m:oMath>
          <m:r>
            <m:t>Π</m:t>
          </m:r>
          <m:r>
            <m:rPr>
              <m:sty m:val="p"/>
            </m:rPr>
            <m:t>=</m:t>
          </m:r>
          <m:d>
            <m:dPr>
              <m:begChr m:val="("/>
              <m:endChr m:val=")"/>
              <m:sepChr m:val=""/>
              <m:grow/>
            </m:dPr>
            <m:e>
              <m:sSub>
                <m:e>
                  <m:r>
                    <m:t>π</m:t>
                  </m:r>
                </m:e>
                <m:sub>
                  <m:r>
                    <m:t>T</m:t>
                  </m:r>
                  <m:r>
                    <m:t>C</m:t>
                  </m:r>
                </m:sub>
              </m:sSub>
              <m:r>
                <m:rPr>
                  <m:sty m:val="p"/>
                </m:rPr>
                <m:t>,</m:t>
              </m:r>
              <m:sSub>
                <m:e>
                  <m:r>
                    <m:t>π</m:t>
                  </m:r>
                </m:e>
                <m:sub>
                  <m:r>
                    <m:t>T</m:t>
                  </m:r>
                  <m:r>
                    <m:t>A</m:t>
                  </m:r>
                </m:sub>
              </m:sSub>
              <m:r>
                <m:rPr>
                  <m:sty m:val="p"/>
                </m:rPr>
                <m:t>,</m:t>
              </m:r>
              <m:sSub>
                <m:e>
                  <m:r>
                    <m:t>π</m:t>
                  </m:r>
                </m:e>
                <m:sub>
                  <m:r>
                    <m:t>L</m:t>
                  </m:r>
                  <m:r>
                    <m:t>C</m:t>
                  </m:r>
                </m:sub>
              </m:sSub>
              <m:r>
                <m:rPr>
                  <m:sty m:val="p"/>
                </m:rPr>
                <m:t>,</m:t>
              </m:r>
              <m:sSub>
                <m:e>
                  <m:r>
                    <m:t>π</m:t>
                  </m:r>
                </m:e>
                <m:sub>
                  <m:r>
                    <m:t>L</m:t>
                  </m:r>
                  <m:r>
                    <m:t>A</m:t>
                  </m:r>
                </m:sub>
              </m:sSub>
              <m:r>
                <m:rPr>
                  <m:sty m:val="p"/>
                </m:rPr>
                <m:t>,</m:t>
              </m:r>
              <m:sSub>
                <m:e>
                  <m:r>
                    <m:t>π</m:t>
                  </m:r>
                </m:e>
                <m:sub>
                  <m:r>
                    <m:t>X</m:t>
                  </m:r>
                  <m:r>
                    <m:t>O</m:t>
                  </m:r>
                  <m:r>
                    <m:rPr>
                      <m:sty m:val="p"/>
                    </m:rPr>
                    <m:t>,</m:t>
                  </m:r>
                  <m:r>
                    <m:t>C</m:t>
                  </m:r>
                </m:sub>
              </m:sSub>
              <m:r>
                <m:rPr>
                  <m:sty m:val="p"/>
                </m:rPr>
                <m:t>,</m:t>
              </m:r>
              <m:sSub>
                <m:e>
                  <m:r>
                    <m:t>π</m:t>
                  </m:r>
                </m:e>
                <m:sub>
                  <m:r>
                    <m:t>X</m:t>
                  </m:r>
                  <m:r>
                    <m:t>O</m:t>
                  </m:r>
                  <m:r>
                    <m:rPr>
                      <m:sty m:val="p"/>
                    </m:rPr>
                    <m:t>,</m:t>
                  </m:r>
                  <m:r>
                    <m:t>A</m:t>
                  </m:r>
                </m:sub>
              </m:sSub>
            </m:e>
          </m:d>
          <m:r>
            <m:rPr>
              <m:sty m:val="p"/>
            </m:rPr>
            <m:t>,</m:t>
          </m:r>
        </m:oMath>
      </m:oMathPara>
    </w:p>
    <w:p>
      <w:pPr>
        <w:pStyle w:val="FirstParagraph"/>
      </w:pPr>
      <w:r>
        <w:t xml:space="preserve">where</w:t>
      </w:r>
    </w:p>
    <w:p>
      <w:pPr>
        <w:pStyle w:val="Compact"/>
        <w:numPr>
          <w:ilvl w:val="0"/>
          <w:numId w:val="1005"/>
        </w:numPr>
      </w:pPr>
      <m:oMath>
        <m:sSub>
          <m:e>
            <m:r>
              <m:t>π</m:t>
            </m:r>
          </m:e>
          <m:sub>
            <m:r>
              <m:t>T</m:t>
            </m:r>
            <m:r>
              <m:t>C</m:t>
            </m:r>
          </m:sub>
        </m:sSub>
      </m:oMath>
      <w:r>
        <w:t xml:space="preserve">: transition core;</w:t>
      </w:r>
    </w:p>
    <w:p>
      <w:pPr>
        <w:pStyle w:val="Compact"/>
        <w:numPr>
          <w:ilvl w:val="0"/>
          <w:numId w:val="1005"/>
        </w:numPr>
      </w:pPr>
      <m:oMath>
        <m:sSub>
          <m:e>
            <m:r>
              <m:t>π</m:t>
            </m:r>
          </m:e>
          <m:sub>
            <m:r>
              <m:t>T</m:t>
            </m:r>
            <m:r>
              <m:t>A</m:t>
            </m:r>
          </m:sub>
        </m:sSub>
      </m:oMath>
      <w:r>
        <w:t xml:space="preserve">: transition auxiliary;</w:t>
      </w:r>
    </w:p>
    <w:p>
      <w:pPr>
        <w:pStyle w:val="Compact"/>
        <w:numPr>
          <w:ilvl w:val="0"/>
          <w:numId w:val="1005"/>
        </w:numPr>
      </w:pPr>
      <m:oMath>
        <m:sSub>
          <m:e>
            <m:r>
              <m:t>π</m:t>
            </m:r>
          </m:e>
          <m:sub>
            <m:r>
              <m:t>L</m:t>
            </m:r>
            <m:r>
              <m:t>C</m:t>
            </m:r>
          </m:sub>
        </m:sSub>
      </m:oMath>
      <w:r>
        <w:t xml:space="preserve">: lookup core;</w:t>
      </w:r>
    </w:p>
    <w:p>
      <w:pPr>
        <w:pStyle w:val="Compact"/>
        <w:numPr>
          <w:ilvl w:val="0"/>
          <w:numId w:val="1005"/>
        </w:numPr>
      </w:pPr>
      <m:oMath>
        <m:sSub>
          <m:e>
            <m:r>
              <m:t>π</m:t>
            </m:r>
          </m:e>
          <m:sub>
            <m:r>
              <m:t>L</m:t>
            </m:r>
            <m:r>
              <m:t>A</m:t>
            </m:r>
          </m:sub>
        </m:sSub>
      </m:oMath>
      <w:r>
        <w:t xml:space="preserve">: lookup auxiliary;</w:t>
      </w:r>
    </w:p>
    <w:p>
      <w:pPr>
        <w:pStyle w:val="Compact"/>
        <w:numPr>
          <w:ilvl w:val="0"/>
          <w:numId w:val="1005"/>
        </w:numPr>
      </w:pPr>
      <m:oMath>
        <m:sSub>
          <m:e>
            <m:r>
              <m:t>π</m:t>
            </m:r>
          </m:e>
          <m:sub>
            <m:r>
              <m:t>X</m:t>
            </m:r>
            <m:r>
              <m:t>O</m:t>
            </m:r>
            <m:r>
              <m:rPr>
                <m:sty m:val="p"/>
              </m:rPr>
              <m:t>,</m:t>
            </m:r>
            <m:r>
              <m:t>C</m:t>
            </m:r>
          </m:sub>
        </m:sSub>
      </m:oMath>
      <w:r>
        <w:t xml:space="preserve">: transition/lookup core cross-opening;</w:t>
      </w:r>
    </w:p>
    <w:p>
      <w:pPr>
        <w:pStyle w:val="Compact"/>
        <w:numPr>
          <w:ilvl w:val="0"/>
          <w:numId w:val="1005"/>
        </w:numPr>
      </w:pPr>
      <m:oMath>
        <m:sSub>
          <m:e>
            <m:r>
              <m:t>π</m:t>
            </m:r>
          </m:e>
          <m:sub>
            <m:r>
              <m:t>X</m:t>
            </m:r>
            <m:r>
              <m:t>O</m:t>
            </m:r>
            <m:r>
              <m:rPr>
                <m:sty m:val="p"/>
              </m:rPr>
              <m:t>,</m:t>
            </m:r>
            <m:r>
              <m:t>A</m:t>
            </m:r>
          </m:sub>
        </m:sSub>
      </m:oMath>
      <w:r>
        <w:t xml:space="preserve">: transition/lookup auxiliary cross-opening.</w:t>
      </w:r>
    </w:p>
    <w:p>
      <w:pPr>
        <w:pStyle w:val="FirstParagraph"/>
      </w:pPr>
      <w:r>
        <w:t xml:space="preserve">The full validator accepts the C1 component only if</w:t>
      </w:r>
    </w:p>
    <w:p>
      <w:pPr>
        <w:pStyle w:val="BodyText"/>
      </w:pPr>
      <m:oMathPara>
        <m:oMathParaPr>
          <m:jc m:val="center"/>
        </m:oMathParaPr>
        <m:oMath>
          <m:limLow>
            <m:e>
              <m:limUpp>
                <m:e>
                  <m:r>
                    <m:rPr>
                      <m:sty m:val="p"/>
                    </m:rPr>
                    <m:t>⋀</m:t>
                  </m:r>
                </m:e>
                <m:lim>
                  <m:r>
                    <m:t>6</m:t>
                  </m:r>
                </m:lim>
              </m:limUpp>
            </m:e>
            <m:lim>
              <m:r>
                <m:t>i</m:t>
              </m:r>
              <m:r>
                <m:rPr>
                  <m:sty m:val="p"/>
                </m:rPr>
                <m:t>=</m:t>
              </m:r>
              <m:r>
                <m:t>1</m:t>
              </m:r>
            </m:lim>
          </m:limLow>
          <m:r>
            <m:rPr>
              <m:sty m:val="p"/>
            </m:rPr>
            <m:t>V</m:t>
          </m:r>
          <m:r>
            <m:rPr>
              <m:sty m:val="p"/>
            </m:rPr>
            <m:t>e</m:t>
          </m:r>
          <m:r>
            <m:rPr>
              <m:sty m:val="p"/>
            </m:rPr>
            <m:t>r</m:t>
          </m:r>
          <m:r>
            <m:rPr>
              <m:sty m:val="p"/>
            </m:rPr>
            <m:t>i</m:t>
          </m:r>
          <m:r>
            <m:rPr>
              <m:sty m:val="p"/>
            </m:rPr>
            <m:t>f</m:t>
          </m:r>
          <m:r>
            <m:rPr>
              <m:sty m:val="p"/>
            </m:rPr>
            <m:t>y</m:t>
          </m:r>
          <m:r>
            <m:rPr>
              <m:sty m:val="p"/>
            </m:rPr>
            <m:t>L</m:t>
          </m:r>
          <m:r>
            <m:rPr>
              <m:sty m:val="p"/>
            </m:rPr>
            <m:t>a</m:t>
          </m:r>
          <m:r>
            <m:rPr>
              <m:sty m:val="p"/>
            </m:rPr>
            <m:t>n</m:t>
          </m:r>
          <m:r>
            <m:rPr>
              <m:sty m:val="p"/>
            </m:rPr>
            <m:t>e</m:t>
          </m:r>
          <m:d>
            <m:dPr>
              <m:begChr m:val="("/>
              <m:endChr m:val=")"/>
              <m:sepChr m:val=""/>
              <m:grow/>
            </m:dPr>
            <m:e>
              <m:r>
                <m:t>x</m:t>
              </m:r>
              <m:r>
                <m:rPr>
                  <m:sty m:val="p"/>
                </m:rPr>
                <m:t>,</m:t>
              </m:r>
              <m:sSub>
                <m:e>
                  <m:r>
                    <m:t>π</m:t>
                  </m:r>
                </m:e>
                <m:sub>
                  <m:r>
                    <m:t>i</m:t>
                  </m:r>
                </m:sub>
              </m:sSub>
            </m:e>
          </m:d>
          <m:r>
            <m:rPr>
              <m:sty m:val="p"/>
            </m:rPr>
            <m:t>=</m:t>
          </m:r>
          <m:r>
            <m:t>1</m:t>
          </m:r>
        </m:oMath>
      </m:oMathPara>
    </w:p>
    <w:p>
      <w:pPr>
        <w:pStyle w:val="FirstParagraph"/>
      </w:pPr>
      <w:r>
        <w:t xml:space="preserve">and the cross-lane bindings, frozen identities, and public-context checks all agree.</w:t>
      </w:r>
    </w:p>
    <w:p>
      <w:pPr>
        <w:pStyle w:val="BodyText"/>
      </w:pPr>
      <w:r>
        <w:drawing>
          <wp:inline>
            <wp:extent cx="5334000" cy="2667000"/>
            <wp:effectExtent b="0" l="0" r="0" t="0"/>
            <wp:docPr descr="" title="" id="54" name="Picture"/>
            <a:graphic>
              <a:graphicData uri="http://schemas.openxmlformats.org/drawingml/2006/picture">
                <pic:pic>
                  <pic:nvPicPr>
                    <pic:cNvPr descr="figures/c1_flow.png" id="55" name="Picture"/>
                    <pic:cNvPicPr>
                      <a:picLocks noChangeArrowheads="1" noChangeAspect="1"/>
                    </pic:cNvPicPr>
                  </pic:nvPicPr>
                  <pic:blipFill>
                    <a:blip r:embed="rId53"/>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rPr>
          <w:b/>
          <w:bCs/>
        </w:rPr>
        <w:t xml:space="preserve">Figure 3.</w:t>
      </w:r>
      <w:r>
        <w:t xml:space="preserve"> </w:t>
      </w:r>
      <w:r>
        <w:t xml:space="preserve">The transition, authenticated lookup, and cross-opening layers form one proof of source-exact work. A public dataset root alone is insufficient if the consumed values are not bound to it.</w:t>
      </w:r>
    </w:p>
    <w:bookmarkEnd w:id="56"/>
    <w:bookmarkEnd w:id="57"/>
    <w:bookmarkStart w:id="58" w:name="pruned-and-simplified-verification"/>
    <w:p>
      <w:pPr>
        <w:pStyle w:val="Heading2"/>
      </w:pPr>
      <w:r>
        <w:t xml:space="preserve">8. Pruned and Simplified Verification</w:t>
      </w:r>
    </w:p>
    <w:p>
      <w:pPr>
        <w:pStyle w:val="FirstParagraph"/>
      </w:pPr>
      <w:r>
        <w:t xml:space="preserve">A full validator does not regenerate the 4M proof. It verifies the received proof package and performs native consensus/state checks:</w:t>
      </w:r>
    </w:p>
    <w:p>
      <w:pPr>
        <w:pStyle w:val="BodyText"/>
      </w:pPr>
      <m:oMathPara>
        <m:oMathParaPr>
          <m:jc m:val="center"/>
        </m:oMathParaPr>
        <m:oMath>
          <m:r>
            <m:rPr>
              <m:sty m:val="p"/>
            </m:rPr>
            <m:t>V</m:t>
          </m:r>
          <m:r>
            <m:rPr>
              <m:sty m:val="p"/>
            </m:rPr>
            <m:t>a</m:t>
          </m:r>
          <m:r>
            <m:rPr>
              <m:sty m:val="p"/>
            </m:rPr>
            <m:t>l</m:t>
          </m:r>
          <m:r>
            <m:rPr>
              <m:sty m:val="p"/>
            </m:rPr>
            <m:t>i</m:t>
          </m:r>
          <m:r>
            <m:rPr>
              <m:sty m:val="p"/>
            </m:rPr>
            <m:t>d</m:t>
          </m:r>
          <m:r>
            <m:rPr>
              <m:sty m:val="p"/>
            </m:rPr>
            <m:t>a</m:t>
          </m:r>
          <m:r>
            <m:rPr>
              <m:sty m:val="p"/>
            </m:rPr>
            <m:t>t</m:t>
          </m:r>
          <m:r>
            <m:rPr>
              <m:sty m:val="p"/>
            </m:rPr>
            <m:t>e</m:t>
          </m:r>
          <m:r>
            <m:rPr>
              <m:sty m:val="p"/>
            </m:rPr>
            <m:t>B</m:t>
          </m:r>
          <m:r>
            <m:rPr>
              <m:sty m:val="p"/>
            </m:rPr>
            <m:t>l</m:t>
          </m:r>
          <m:r>
            <m:rPr>
              <m:sty m:val="p"/>
            </m:rPr>
            <m:t>o</m:t>
          </m:r>
          <m:r>
            <m:rPr>
              <m:sty m:val="p"/>
            </m:rPr>
            <m:t>c</m:t>
          </m:r>
          <m:r>
            <m:rPr>
              <m:sty m:val="p"/>
            </m:rPr>
            <m:t>k</m:t>
          </m:r>
          <m:d>
            <m:dPr>
              <m:begChr m:val="("/>
              <m:endChr m:val=")"/>
              <m:sepChr m:val=""/>
              <m:grow/>
            </m:dPr>
            <m:e>
              <m:r>
                <m:t>B</m:t>
              </m:r>
            </m:e>
          </m:d>
          <m:r>
            <m:rPr>
              <m:sty m:val="p"/>
            </m:rPr>
            <m:t>=</m:t>
          </m:r>
          <m:r>
            <m:rPr>
              <m:sty m:val="p"/>
            </m:rPr>
            <m:t>V</m:t>
          </m:r>
          <m:r>
            <m:rPr>
              <m:sty m:val="p"/>
            </m:rPr>
            <m:t>e</m:t>
          </m:r>
          <m:r>
            <m:rPr>
              <m:sty m:val="p"/>
            </m:rPr>
            <m:t>r</m:t>
          </m:r>
          <m:r>
            <m:rPr>
              <m:sty m:val="p"/>
            </m:rPr>
            <m:t>i</m:t>
          </m:r>
          <m:r>
            <m:rPr>
              <m:sty m:val="p"/>
            </m:rPr>
            <m:t>f</m:t>
          </m:r>
          <m:r>
            <m:rPr>
              <m:sty m:val="p"/>
            </m:rPr>
            <m:t>y</m:t>
          </m:r>
          <m:r>
            <m:rPr>
              <m:sty m:val="p"/>
            </m:rPr>
            <m:t>C</m:t>
          </m:r>
          <m:r>
            <m:rPr>
              <m:sty m:val="p"/>
            </m:rPr>
            <m:t>1</m:t>
          </m:r>
          <m:d>
            <m:dPr>
              <m:begChr m:val="("/>
              <m:endChr m:val=")"/>
              <m:sepChr m:val=""/>
              <m:grow/>
            </m:dPr>
            <m:e>
              <m:r>
                <m:t>Π</m:t>
              </m:r>
            </m:e>
          </m:d>
          <m:r>
            <m:rPr>
              <m:sty m:val="p"/>
            </m:rPr>
            <m:t>∧</m:t>
          </m:r>
          <m:r>
            <m:rPr>
              <m:sty m:val="p"/>
            </m:rPr>
            <m:t>V</m:t>
          </m:r>
          <m:r>
            <m:rPr>
              <m:sty m:val="p"/>
            </m:rPr>
            <m:t>e</m:t>
          </m:r>
          <m:r>
            <m:rPr>
              <m:sty m:val="p"/>
            </m:rPr>
            <m:t>r</m:t>
          </m:r>
          <m:r>
            <m:rPr>
              <m:sty m:val="p"/>
            </m:rPr>
            <m:t>i</m:t>
          </m:r>
          <m:r>
            <m:rPr>
              <m:sty m:val="p"/>
            </m:rPr>
            <m:t>f</m:t>
          </m:r>
          <m:r>
            <m:rPr>
              <m:sty m:val="p"/>
            </m:rPr>
            <m:t>y</m:t>
          </m:r>
          <m:r>
            <m:rPr>
              <m:sty m:val="p"/>
            </m:rPr>
            <m:t>T</m:t>
          </m:r>
          <m:r>
            <m:rPr>
              <m:sty m:val="p"/>
            </m:rPr>
            <m:t>x</m:t>
          </m:r>
          <m:d>
            <m:dPr>
              <m:begChr m:val="("/>
              <m:endChr m:val=")"/>
              <m:sepChr m:val=""/>
              <m:grow/>
            </m:dPr>
            <m:e>
              <m:r>
                <m:t>B</m:t>
              </m:r>
            </m:e>
          </m:d>
          <m:r>
            <m:rPr>
              <m:sty m:val="p"/>
            </m:rPr>
            <m:t>∧</m:t>
          </m:r>
          <m:r>
            <m:rPr>
              <m:sty m:val="p"/>
            </m:rPr>
            <m:t>V</m:t>
          </m:r>
          <m:r>
            <m:rPr>
              <m:sty m:val="p"/>
            </m:rPr>
            <m:t>e</m:t>
          </m:r>
          <m:r>
            <m:rPr>
              <m:sty m:val="p"/>
            </m:rPr>
            <m:t>r</m:t>
          </m:r>
          <m:r>
            <m:rPr>
              <m:sty m:val="p"/>
            </m:rPr>
            <m:t>i</m:t>
          </m:r>
          <m:r>
            <m:rPr>
              <m:sty m:val="p"/>
            </m:rPr>
            <m:t>f</m:t>
          </m:r>
          <m:r>
            <m:rPr>
              <m:sty m:val="p"/>
            </m:rPr>
            <m:t>y</m:t>
          </m:r>
          <m:r>
            <m:rPr>
              <m:sty m:val="p"/>
            </m:rPr>
            <m:t>R</m:t>
          </m:r>
          <m:r>
            <m:rPr>
              <m:sty m:val="p"/>
            </m:rPr>
            <m:t>e</m:t>
          </m:r>
          <m:r>
            <m:rPr>
              <m:sty m:val="p"/>
            </m:rPr>
            <m:t>c</m:t>
          </m:r>
          <m:r>
            <m:rPr>
              <m:sty m:val="p"/>
            </m:rPr>
            <m:t>e</m:t>
          </m:r>
          <m:r>
            <m:rPr>
              <m:sty m:val="p"/>
            </m:rPr>
            <m:t>i</m:t>
          </m:r>
          <m:r>
            <m:rPr>
              <m:sty m:val="p"/>
            </m:rPr>
            <m:t>p</m:t>
          </m:r>
          <m:r>
            <m:rPr>
              <m:sty m:val="p"/>
            </m:rPr>
            <m:t>t</m:t>
          </m:r>
          <m:r>
            <m:rPr>
              <m:sty m:val="p"/>
            </m:rPr>
            <m:t>s</m:t>
          </m:r>
          <m:d>
            <m:dPr>
              <m:begChr m:val="("/>
              <m:endChr m:val=")"/>
              <m:sepChr m:val=""/>
              <m:grow/>
            </m:dPr>
            <m:e>
              <m:r>
                <m:t>B</m:t>
              </m:r>
            </m:e>
          </m:d>
        </m:oMath>
      </m:oMathPara>
    </w:p>
    <w:p>
      <w:pPr>
        <w:pStyle w:val="FirstParagraph"/>
      </w:pPr>
      <m:oMathPara>
        <m:oMathParaPr>
          <m:jc m:val="center"/>
        </m:oMathParaPr>
        <m:oMath>
          <m:r>
            <m:t>  </m:t>
          </m:r>
          <m:r>
            <m:rPr>
              <m:sty m:val="p"/>
            </m:rPr>
            <m:t>∧</m:t>
          </m:r>
          <m:r>
            <m:rPr>
              <m:sty m:val="p"/>
            </m:rPr>
            <m:t>V</m:t>
          </m:r>
          <m:r>
            <m:rPr>
              <m:sty m:val="p"/>
            </m:rPr>
            <m:t>e</m:t>
          </m:r>
          <m:r>
            <m:rPr>
              <m:sty m:val="p"/>
            </m:rPr>
            <m:t>r</m:t>
          </m:r>
          <m:r>
            <m:rPr>
              <m:sty m:val="p"/>
            </m:rPr>
            <m:t>i</m:t>
          </m:r>
          <m:r>
            <m:rPr>
              <m:sty m:val="p"/>
            </m:rPr>
            <m:t>f</m:t>
          </m:r>
          <m:r>
            <m:rPr>
              <m:sty m:val="p"/>
            </m:rPr>
            <m:t>y</m:t>
          </m:r>
          <m:r>
            <m:rPr>
              <m:sty m:val="p"/>
            </m:rPr>
            <m:t>R</m:t>
          </m:r>
          <m:r>
            <m:rPr>
              <m:sty m:val="p"/>
            </m:rPr>
            <m:t>e</m:t>
          </m:r>
          <m:r>
            <m:rPr>
              <m:sty m:val="p"/>
            </m:rPr>
            <m:t>w</m:t>
          </m:r>
          <m:r>
            <m:rPr>
              <m:sty m:val="p"/>
            </m:rPr>
            <m:t>a</m:t>
          </m:r>
          <m:r>
            <m:rPr>
              <m:sty m:val="p"/>
            </m:rPr>
            <m:t>r</m:t>
          </m:r>
          <m:r>
            <m:rPr>
              <m:sty m:val="p"/>
            </m:rPr>
            <m:t>d</m:t>
          </m:r>
          <m:r>
            <m:rPr>
              <m:sty m:val="p"/>
            </m:rPr>
            <m:t>s</m:t>
          </m:r>
          <m:d>
            <m:dPr>
              <m:begChr m:val="("/>
              <m:endChr m:val=")"/>
              <m:sepChr m:val=""/>
              <m:grow/>
            </m:dPr>
            <m:e>
              <m:r>
                <m:t>B</m:t>
              </m:r>
            </m:e>
          </m:d>
          <m:r>
            <m:rPr>
              <m:sty m:val="p"/>
            </m:rPr>
            <m:t>∧</m:t>
          </m:r>
          <m:r>
            <m:rPr>
              <m:sty m:val="p"/>
            </m:rPr>
            <m:t>A</m:t>
          </m:r>
          <m:r>
            <m:rPr>
              <m:sty m:val="p"/>
            </m:rPr>
            <m:t>p</m:t>
          </m:r>
          <m:r>
            <m:rPr>
              <m:sty m:val="p"/>
            </m:rPr>
            <m:t>p</m:t>
          </m:r>
          <m:r>
            <m:rPr>
              <m:sty m:val="p"/>
            </m:rPr>
            <m:t>l</m:t>
          </m:r>
          <m:r>
            <m:rPr>
              <m:sty m:val="p"/>
            </m:rPr>
            <m:t>y</m:t>
          </m:r>
          <m:r>
            <m:rPr>
              <m:sty m:val="p"/>
            </m:rPr>
            <m:t>S</m:t>
          </m:r>
          <m:r>
            <m:rPr>
              <m:sty m:val="p"/>
            </m:rPr>
            <m:t>t</m:t>
          </m:r>
          <m:r>
            <m:rPr>
              <m:sty m:val="p"/>
            </m:rPr>
            <m:t>a</m:t>
          </m:r>
          <m:r>
            <m:rPr>
              <m:sty m:val="p"/>
            </m:rPr>
            <m:t>t</m:t>
          </m:r>
          <m:r>
            <m:rPr>
              <m:sty m:val="p"/>
            </m:rPr>
            <m:t>e</m:t>
          </m:r>
          <m:d>
            <m:dPr>
              <m:begChr m:val="("/>
              <m:endChr m:val=")"/>
              <m:sepChr m:val=""/>
              <m:grow/>
            </m:dPr>
            <m:e>
              <m:r>
                <m:t>B</m:t>
              </m:r>
            </m:e>
          </m:d>
          <m:r>
            <m:rPr>
              <m:sty m:val="p"/>
            </m:rPr>
            <m:t>.</m:t>
          </m:r>
        </m:oMath>
      </m:oMathPara>
    </w:p>
    <w:p>
      <w:pPr>
        <w:pStyle w:val="FirstParagraph"/>
      </w:pPr>
      <w:r>
        <w:t xml:space="preserve">A pruned full validator may discard old raw history after validation while retaining enough authenticated current state and bounded recent information to validate future blocks and handle the maturity/reorg window. An archival validator retains more history but receives no extra authority.</w:t>
      </w:r>
    </w:p>
    <w:p>
      <w:pPr>
        <w:pStyle w:val="BodyText"/>
      </w:pPr>
      <w:r>
        <w:t xml:space="preserve">A light client validates only the cryptographic evidence required for its own assets/state while independently checking the relevant chain/network identities. It is not defined as a client that simply trusts one API server.</w:t>
      </w:r>
    </w:p>
    <w:p>
      <w:pPr>
        <w:pStyle w:val="BodyText"/>
      </w:pPr>
      <w:r>
        <w:t xml:space="preserve">At publication, the PRE-M10 commodity full-node gate remains open because the first complete Apple M3 composed verifier measured approximately 549.3 s p50, 598.2 s p95, and 604.7 s maximum against the 600-second target cadence. Peak RSS was about 1.1 GB. The bottleneck is six-lane verifier service time, not the native transaction/state path. Implementation optimization and independent Windows/Linux evidence are therefore required before a commodity-floor claim is made.</w:t>
      </w:r>
    </w:p>
    <w:bookmarkEnd w:id="58"/>
    <w:bookmarkStart w:id="59" w:name="combining-and-splitting-value"/>
    <w:p>
      <w:pPr>
        <w:pStyle w:val="Heading2"/>
      </w:pPr>
      <w:r>
        <w:t xml:space="preserve">9. Combining and Splitting Value</w:t>
      </w:r>
    </w:p>
    <w:p>
      <w:pPr>
        <w:pStyle w:val="FirstParagraph"/>
      </w:pPr>
      <w:r>
        <w:t xml:space="preserve">UTXO inputs and outputs naturally combine and split value. BitFP adds two implementation rules that matter under post-quantum signatures and small reward entitlements.</w:t>
      </w:r>
    </w:p>
    <w:p>
      <w:pPr>
        <w:pStyle w:val="BodyText"/>
      </w:pPr>
      <w:r>
        <w:t xml:space="preserve">First, authorization groups amortize a large ML-DSA signature across multiple same-owner inputs. The authorization scope is explicit and signed, so amortization does not weaken ownership checks.</w:t>
      </w:r>
    </w:p>
    <w:p>
      <w:pPr>
        <w:pStyle w:val="BodyText"/>
      </w:pPr>
      <w:r>
        <w:t xml:space="preserve">Second, partial-work rewards are aggregated into one authenticated carry state per owner rather than creating one persistent consensus object per receipt. This keeps state growth tied to active owners rather than historical event count.</w:t>
      </w:r>
    </w:p>
    <w:bookmarkEnd w:id="59"/>
    <w:bookmarkStart w:id="60" w:name="privacy-and-identity"/>
    <w:p>
      <w:pPr>
        <w:pStyle w:val="Heading2"/>
      </w:pPr>
      <w:r>
        <w:t xml:space="preserve">10. Privacy and Identity</w:t>
      </w:r>
    </w:p>
    <w:p>
      <w:pPr>
        <w:pStyle w:val="Heading3"/>
      </w:pPr>
      <w:r>
        <w:rPr/>
        <w:t>10.1 Current transparent and pseudonymous model</w:t>
      </w:r>
    </w:p>
    <w:p>
      <w:pPr>
        <w:pStyle w:val="FirstParagraph"/>
      </w:pPr>
      <w:r>
        <w:t xml:space="preserve">BitFP is not presented as a privacy-coin protocol. The owner commitment hides the raw public key until authorization is revealed, but transaction graph structure may still reveal relationships. A multi-input authorization group deliberately proves common authorization for the covered inputs.</w:t>
      </w:r>
    </w:p>
    <w:p>
      <w:pPr>
        <w:pStyle w:val="BodyText"/>
      </w:pPr>
      <w:r>
        <w:t xml:space="preserve">Consensus identity is cryptographic rather than organizational. A website, company, miner, archive provider, or high-throughput machine has no authority to turn invalid bytes into valid consensus data.</w:t>
      </w:r>
    </w:p>
    <w:bookmarkEnd w:id="60"/>
    <w:bookmarkStart w:id="67" w:name="security-calculations"/>
    <w:p>
      <w:pPr>
        <w:pStyle w:val="Heading3"/>
      </w:pPr>
      <w:r>
        <w:rPr/>
        <w:t>10.2 Current Sybil-resistance principles and planned audit</w:t>
      </w:r>
    </w:p>
    <w:p>
      <w:pPr>
        <w:pStyle w:val="FirstParagraph"/>
      </w:pPr>
      <w:r>
        <w:t>BitFP does not use one-identity-one-vote consensus. Creating additional protocol identities does not by itself create validity authority, chain work, block probability, receipt entitlement, or reward: mining influence and partial-work receipts require valid PoW work. Mining identities remain cheap and pseudonymous, and an observed count of active mining identities is therefore not a count of unique people or machines. One operator may use many identities, and one identity may aggregate many machines.</w:t>
      </w:r>
    </w:p>
    <w:p>
      <w:pPr>
        <w:pStyle w:val="BodyText"/>
      </w:pPr>
      <w:r>
        <w:t>These properties are design constraints, not a completed proof of system-wide Sybil resistance. The BitFP Sybil Resistance Audit v0.1 is PLANNED and NOT_STARTED. It will evaluate economic identity splitting under equal physical work; P2P Sybil, eclipse and network-partition pressure; mass-created autonomous-agent identities; diagnostic and maintenance report flooding, clustering, deduplication and AI-cost amplification; and the robustness of public mining breadth and concentration metrics. BitFP is not presently claimed to be proven Sybil-proof.</w:t>
      </w:r>
    </w:p>
    <w:p>
      <w:pPr>
        <w:pStyle w:val="Heading3"/>
      </w:pPr>
      <w:r>
        <w:rPr/>
        <w:t>10.3 Planned protocol research on optional post-quantum privacy</w:t>
      </w:r>
    </w:p>
    <w:p>
      <w:pPr>
        <w:pStyle w:val="FirstParagraph"/>
      </w:pPr>
      <w:r>
        <w:t>BitFP currently uses transparent, pseudonymous transactions. Protocol-level shielded transactions are not currently implemented. A future Optional Post-Quantum Privacy Architecture Review v0.1 is planned to compare:</w:t>
      </w:r>
    </w:p>
    <w:p>
      <w:pPr>
        <w:pStyle w:val="BodyText"/>
      </w:pPr>
      <w:r>
        <w:t>• Candidate A: the transparent-only baseline;</w:t>
      </w:r>
    </w:p>
    <w:p>
      <w:pPr>
        <w:pStyle w:val="BodyText"/>
      </w:pPr>
      <w:r>
        <w:t>• Candidate B: transparent UTXOs plus an optional post-quantum shielded pool and selective disclosure; and</w:t>
      </w:r>
    </w:p>
    <w:p>
      <w:pPr>
        <w:pStyle w:val="BodyText"/>
      </w:pPr>
      <w:r>
        <w:t>• Candidate C: private-by-default or mandatory privacy.</w:t>
      </w:r>
    </w:p>
    <w:p>
      <w:pPr>
        <w:pStyle w:val="BodyText"/>
      </w:pPr>
      <w:r>
        <w:t>The design objective to be evaluated is public by default, private by choice, post-quantum throughout. Research scope includes shielded notes, note commitments, nullifiers, authenticated shielded state, double-spend prevention, value conservation, zero-knowledge requirements, post-quantum recipient encryption, selective view or audit capability, metadata and linkage leakage, anonymity-set behavior, agent-native wallet interfaces, fees and transaction weight, proof and verification cost, mobile verification, commodity full-node resources, and the exact M6/M7/M8 interfaces that any proposal would affect.</w:t>
      </w:r>
    </w:p>
    <w:p>
      <w:pPr>
        <w:pStyle w:val="BodyText"/>
      </w:pPr>
      <w:r>
        <w:t>No PQ KEM, commitment construction, note format, privacy relation, selective-disclosure key model, or anonymity guarantee has been selected. There is no current shielded pool, hidden-value transaction, hidden sender or recipient protocol, finalized post-quantum privacy construction, or finalized anonymity guarantee. The architecture remains subject to formal review and human protocol decision. If privacy is selected for the initial protocol, M10 remains blocked until every affected frozen interface is explicitly versioned, amended and revalidated; if it is deferred, the current transparent protocol remains the truthful baseline.</w:t>
      </w:r>
    </w:p>
    <w:p>
      <w:pPr>
        <w:pStyle w:val="Heading2"/>
      </w:pPr>
      <w:r>
        <w:t xml:space="preserve">11. Security Calculations</w:t>
      </w:r>
    </w:p>
    <w:p>
      <w:pPr>
        <w:pStyle w:val="FirstParagraph"/>
      </w:pPr>
      <w:r>
        <w:t xml:space="preserve">Bitcoin’s whitepaper includes a quantitative calculation of the probability that an attacker catches up from a block deficit. BitFP retains that chain-reorganization model and adds quantitative proof-system security calculations.</w:t>
      </w:r>
    </w:p>
    <w:bookmarkStart w:id="61" w:name="chain-catch-up-probability"/>
    <w:p>
      <w:pPr>
        <w:pStyle w:val="Heading3"/>
      </w:pPr>
      <w:r>
        <w:t xml:space="preserve">11.1 Chain catch-up probability</w:t>
      </w:r>
    </w:p>
    <w:p>
      <w:pPr>
        <w:pStyle w:val="FirstParagraph"/>
      </w:pPr>
      <w:r>
        <w:t xml:space="preserve">Let the honest work fraction be</w:t>
      </w:r>
    </w:p>
    <w:p>
      <w:pPr>
        <w:pStyle w:val="BodyText"/>
      </w:pPr>
      <m:oMathPara>
        <m:oMathParaPr>
          <m:jc m:val="center"/>
        </m:oMathParaPr>
        <m:oMath>
          <m:r>
            <m:t>p</m:t>
          </m:r>
          <m:r>
            <m:rPr>
              <m:sty m:val="p"/>
            </m:rPr>
            <m:t>=</m:t>
          </m:r>
          <m:r>
            <m:t>1</m:t>
          </m:r>
          <m:r>
            <m:rPr>
              <m:sty m:val="p"/>
            </m:rPr>
            <m:t>−</m:t>
          </m:r>
          <m:r>
            <m:t>q</m:t>
          </m:r>
          <m:r>
            <m:rPr>
              <m:sty m:val="p"/>
            </m:rPr>
            <m:t>,</m:t>
          </m:r>
        </m:oMath>
      </m:oMathPara>
    </w:p>
    <w:p>
      <w:pPr>
        <w:pStyle w:val="FirstParagraph"/>
      </w:pPr>
      <w:r>
        <w:t xml:space="preserve">where</w:t>
      </w:r>
      <w:r>
        <w:t xml:space="preserve"> </w:t>
      </w:r>
      <m:oMath>
        <m:r>
          <m:t>q</m:t>
        </m:r>
      </m:oMath>
      <w:r>
        <w:t xml:space="preserve"> </w:t>
      </w:r>
      <w:r>
        <w:t xml:space="preserve">is the adversarial work fraction. If</w:t>
      </w:r>
      <w:r>
        <w:t xml:space="preserve"> </w:t>
      </w:r>
      <m:oMath>
        <m:r>
          <m:t>q</m:t>
        </m:r>
        <m:r>
          <m:rPr>
            <m:sty m:val="p"/>
          </m:rPr>
          <m:t>≥</m:t>
        </m:r>
        <m:r>
          <m:t>p</m:t>
        </m:r>
      </m:oMath>
      <w:r>
        <w:t xml:space="preserve">, eventual catch-up probability is 1. For</w:t>
      </w:r>
      <w:r>
        <w:t xml:space="preserve"> </w:t>
      </w:r>
      <m:oMath>
        <m:r>
          <m:t>q</m:t>
        </m:r>
        <m:r>
          <m:rPr>
            <m:sty m:val="p"/>
          </m:rPr>
          <m:t>&lt;</m:t>
        </m:r>
        <m:r>
          <m:t>p</m:t>
        </m:r>
      </m:oMath>
      <w:r>
        <w:t xml:space="preserve">, after the honest chain is</w:t>
      </w:r>
      <w:r>
        <w:t xml:space="preserve"> </w:t>
      </w:r>
      <m:oMath>
        <m:r>
          <m:t>z</m:t>
        </m:r>
      </m:oMath>
      <w:r>
        <w:t xml:space="preserve"> </w:t>
      </w:r>
      <w:r>
        <w:t xml:space="preserve">blocks ahead, the Bitcoin whitepaper models the attacker’s progress with a Poisson distribution of mean [1]</w:t>
      </w:r>
    </w:p>
    <w:p>
      <w:pPr>
        <w:pStyle w:val="BodyText"/>
      </w:pPr>
      <m:oMathPara>
        <m:oMathParaPr>
          <m:jc m:val="center"/>
        </m:oMathParaPr>
        <m:oMath>
          <m:r>
            <m:t>λ</m:t>
          </m:r>
          <m:r>
            <m:rPr>
              <m:sty m:val="p"/>
            </m:rPr>
            <m:t>=</m:t>
          </m:r>
          <m:r>
            <m:t>z</m:t>
          </m:r>
          <m:f>
            <m:fPr>
              <m:type m:val="bar"/>
            </m:fPr>
            <m:num>
              <m:r>
                <m:t>q</m:t>
              </m:r>
            </m:num>
            <m:den>
              <m:r>
                <m:t>p</m:t>
              </m:r>
            </m:den>
          </m:f>
          <m:r>
            <m:rPr>
              <m:sty m:val="p"/>
            </m:rPr>
            <m:t>.</m:t>
          </m:r>
        </m:oMath>
      </m:oMathPara>
    </w:p>
    <w:p>
      <w:pPr>
        <w:pStyle w:val="FirstParagraph"/>
      </w:pPr>
      <w:r>
        <w:t xml:space="preserve">The resulting catch-up probability is</w:t>
      </w:r>
    </w:p>
    <w:p>
      <w:pPr>
        <w:pStyle w:val="BodyText"/>
      </w:pPr>
      <m:oMathPara>
        <m:oMathParaPr>
          <m:jc m:val="center"/>
        </m:oMathParaPr>
        <m:oMath>
          <m:sSub>
            <m:e>
              <m:r>
                <m:t>P</m:t>
              </m:r>
            </m:e>
            <m:sub>
              <m:r>
                <m:rPr>
                  <m:sty m:val="p"/>
                </m:rPr>
                <m:t>c</m:t>
              </m:r>
              <m:r>
                <m:rPr>
                  <m:sty m:val="p"/>
                </m:rPr>
                <m:t>a</m:t>
              </m:r>
              <m:r>
                <m:rPr>
                  <m:sty m:val="p"/>
                </m:rPr>
                <m:t>t</m:t>
              </m:r>
              <m:r>
                <m:rPr>
                  <m:sty m:val="p"/>
                </m:rPr>
                <m:t>c</m:t>
              </m:r>
              <m:r>
                <m:rPr>
                  <m:sty m:val="p"/>
                </m:rPr>
                <m:t>h</m:t>
              </m:r>
            </m:sub>
          </m:sSub>
          <m:d>
            <m:dPr>
              <m:begChr m:val="("/>
              <m:endChr m:val=")"/>
              <m:sepChr m:val=""/>
              <m:grow/>
            </m:dPr>
            <m:e>
              <m:r>
                <m:t>z</m:t>
              </m:r>
              <m:r>
                <m:rPr>
                  <m:sty m:val="p"/>
                </m:rPr>
                <m:t>,</m:t>
              </m:r>
              <m:r>
                <m:t>q</m:t>
              </m:r>
            </m:e>
          </m:d>
          <m:r>
            <m:rPr>
              <m:sty m:val="p"/>
            </m:rPr>
            <m:t>=</m:t>
          </m:r>
          <m:r>
            <m:t>1</m:t>
          </m:r>
          <m:r>
            <m:rPr>
              <m:sty m:val="p"/>
            </m:rPr>
            <m:t>−</m:t>
          </m:r>
          <m:nary>
            <m:naryPr>
              <m:chr m:val="∑"/>
              <m:limLoc m:val="undOvr"/>
              <m:subHide m:val="off"/>
              <m:supHide m:val="off"/>
            </m:naryPr>
            <m:sub>
              <m:r>
                <m:t>k</m:t>
              </m:r>
              <m:r>
                <m:rPr>
                  <m:sty m:val="p"/>
                </m:rPr>
                <m:t>=</m:t>
              </m:r>
              <m:r>
                <m:t>0</m:t>
              </m:r>
            </m:sub>
            <m:sup>
              <m:r>
                <m:t>z</m:t>
              </m:r>
            </m:sup>
            <m:e>
              <m:f>
                <m:fPr>
                  <m:type m:val="bar"/>
                </m:fPr>
                <m:num>
                  <m:sSup>
                    <m:e>
                      <m:r>
                        <m:t>e</m:t>
                      </m:r>
                    </m:e>
                    <m:sup>
                      <m:r>
                        <m:rPr>
                          <m:sty m:val="p"/>
                        </m:rPr>
                        <m:t>−</m:t>
                      </m:r>
                      <m:r>
                        <m:t>λ</m:t>
                      </m:r>
                    </m:sup>
                  </m:sSup>
                  <m:sSup>
                    <m:e>
                      <m:r>
                        <m:t>λ</m:t>
                      </m:r>
                    </m:e>
                    <m:sup>
                      <m:r>
                        <m:t>k</m:t>
                      </m:r>
                    </m:sup>
                  </m:sSup>
                </m:num>
                <m:den>
                  <m:r>
                    <m:t>k</m:t>
                  </m:r>
                  <m:r>
                    <m:rPr>
                      <m:sty m:val="p"/>
                    </m:rPr>
                    <m:t>!</m:t>
                  </m:r>
                </m:den>
              </m:f>
            </m:e>
          </m:nary>
          <m:d>
            <m:dPr>
              <m:begChr m:val="["/>
              <m:endChr m:val="]"/>
              <m:sepChr m:val=""/>
              <m:grow/>
            </m:dPr>
            <m:e>
              <m:r>
                <m:t>1</m:t>
              </m:r>
              <m:r>
                <m:rPr>
                  <m:sty m:val="p"/>
                </m:rPr>
                <m:t>−</m:t>
              </m:r>
              <m:sSup>
                <m:e>
                  <m:d>
                    <m:dPr>
                      <m:begChr m:val="("/>
                      <m:endChr m:val=")"/>
                      <m:sepChr m:val=""/>
                      <m:grow/>
                    </m:dPr>
                    <m:e>
                      <m:f>
                        <m:fPr>
                          <m:type m:val="bar"/>
                        </m:fPr>
                        <m:num>
                          <m:r>
                            <m:t>q</m:t>
                          </m:r>
                        </m:num>
                        <m:den>
                          <m:r>
                            <m:t>p</m:t>
                          </m:r>
                        </m:den>
                      </m:f>
                    </m:e>
                  </m:d>
                </m:e>
                <m:sup>
                  <m:r>
                    <m:t>z</m:t>
                  </m:r>
                  <m:r>
                    <m:rPr>
                      <m:sty m:val="p"/>
                    </m:rPr>
                    <m:t>−</m:t>
                  </m:r>
                  <m:r>
                    <m:t>k</m:t>
                  </m:r>
                </m:sup>
              </m:sSup>
            </m:e>
          </m:d>
          <m:r>
            <m:rPr>
              <m:sty m:val="p"/>
            </m:rPr>
            <m:t>.</m:t>
          </m:r>
        </m:oMath>
      </m:oMathPara>
    </w:p>
    <w:p>
      <w:pPr>
        <w:pStyle w:val="FirstParagraph"/>
      </w:pPr>
      <w:r>
        <w:t xml:space="preserve">BitFP’s selected receipt/reward maturity policy uses the modeled bound</w:t>
      </w:r>
      <w:r>
        <w:t xml:space="preserve"> </w:t>
      </w:r>
      <m:oMath>
        <m:r>
          <m:t>q</m:t>
        </m:r>
        <m:r>
          <m:rPr>
            <m:sty m:val="p"/>
          </m:rPr>
          <m:t>≤</m:t>
        </m:r>
        <m:r>
          <m:t>1</m:t>
        </m:r>
        <m:r>
          <m:rPr>
            <m:sty m:val="p"/>
          </m:rPr>
          <m:t>/</m:t>
        </m:r>
        <m:r>
          <m:t>3</m:t>
        </m:r>
      </m:oMath>
      <w:r>
        <w:t xml:space="preserve"> </w:t>
      </w:r>
      <w:r>
        <w:t xml:space="preserve">and target</w:t>
      </w:r>
    </w:p>
    <w:p>
      <w:pPr>
        <w:pStyle w:val="BodyText"/>
      </w:pPr>
      <m:oMathPara>
        <m:oMathParaPr>
          <m:jc m:val="center"/>
        </m:oMathParaPr>
        <m:oMath>
          <m:sSub>
            <m:e>
              <m:r>
                <m:t>P</m:t>
              </m:r>
            </m:e>
            <m:sub>
              <m:r>
                <m:rPr>
                  <m:sty m:val="p"/>
                </m:rPr>
                <m:t>c</m:t>
              </m:r>
              <m:r>
                <m:rPr>
                  <m:sty m:val="p"/>
                </m:rPr>
                <m:t>a</m:t>
              </m:r>
              <m:r>
                <m:rPr>
                  <m:sty m:val="p"/>
                </m:rPr>
                <m:t>t</m:t>
              </m:r>
              <m:r>
                <m:rPr>
                  <m:sty m:val="p"/>
                </m:rPr>
                <m:t>c</m:t>
              </m:r>
              <m:r>
                <m:rPr>
                  <m:sty m:val="p"/>
                </m:rPr>
                <m:t>h</m:t>
              </m:r>
            </m:sub>
          </m:sSub>
          <m:r>
            <m:rPr>
              <m:sty m:val="p"/>
            </m:rPr>
            <m:t>≤</m:t>
          </m:r>
          <m:sSup>
            <m:e>
              <m:r>
                <m:t>10</m:t>
              </m:r>
            </m:e>
            <m:sup>
              <m:r>
                <m:rPr>
                  <m:sty m:val="p"/>
                </m:rPr>
                <m:t>−</m:t>
              </m:r>
              <m:r>
                <m:t>9</m:t>
              </m:r>
            </m:sup>
          </m:sSup>
          <m:r>
            <m:rPr>
              <m:sty m:val="p"/>
            </m:rPr>
            <m:t>.</m:t>
          </m:r>
        </m:oMath>
      </m:oMathPara>
    </w:p>
    <w:p>
      <w:pPr>
        <w:pStyle w:val="FirstParagraph"/>
      </w:pPr>
      <w:r>
        <w:t xml:space="preserve">For</w:t>
      </w:r>
      <w:r>
        <w:t xml:space="preserve"> </w:t>
      </w:r>
      <m:oMath>
        <m:r>
          <m:t>q</m:t>
        </m:r>
        <m:r>
          <m:rPr>
            <m:sty m:val="p"/>
          </m:rPr>
          <m:t>=</m:t>
        </m:r>
        <m:r>
          <m:t>1</m:t>
        </m:r>
        <m:r>
          <m:rPr>
            <m:sty m:val="p"/>
          </m:rPr>
          <m:t>/</m:t>
        </m:r>
        <m:r>
          <m:t>3</m:t>
        </m:r>
      </m:oMath>
      <w:r>
        <w:t xml:space="preserve">:</w:t>
      </w:r>
    </w:p>
    <w:p>
      <w:pPr>
        <w:pStyle w:val="Compact"/>
        <w:numPr>
          <w:ilvl w:val="0"/>
          <w:numId w:val="1006"/>
        </w:numPr>
      </w:pPr>
      <w:r>
        <w:t xml:space="preserve">At depth</w:t>
      </w:r>
      <w:r>
        <w:t xml:space="preserve"> </w:t>
      </w:r>
      <m:oMath>
        <m:r>
          <m:t>z</m:t>
        </m:r>
        <m:r>
          <m:rPr>
            <m:sty m:val="p"/>
          </m:rPr>
          <m:t>=</m:t>
        </m:r>
        <m:r>
          <m:t>104</m:t>
        </m:r>
      </m:oMath>
      <w:r>
        <w:t xml:space="preserve">,</w:t>
      </w:r>
      <w:r>
        <w:t xml:space="preserve"> </w:t>
      </w:r>
      <m:oMath>
        <m:sSub>
          <m:e>
            <m:r>
              <m:t>P</m:t>
            </m:r>
          </m:e>
          <m:sub>
            <m:r>
              <m:rPr>
                <m:sty m:val="p"/>
              </m:rPr>
              <m:t>c</m:t>
            </m:r>
            <m:r>
              <m:rPr>
                <m:sty m:val="p"/>
              </m:rPr>
              <m:t>a</m:t>
            </m:r>
            <m:r>
              <m:rPr>
                <m:sty m:val="p"/>
              </m:rPr>
              <m:t>t</m:t>
            </m:r>
            <m:r>
              <m:rPr>
                <m:sty m:val="p"/>
              </m:rPr>
              <m:t>c</m:t>
            </m:r>
            <m:r>
              <m:rPr>
                <m:sty m:val="p"/>
              </m:rPr>
              <m:t>h</m:t>
            </m:r>
          </m:sub>
        </m:sSub>
        <m:r>
          <m:rPr>
            <m:sty m:val="p"/>
          </m:rPr>
          <m:t>=</m:t>
        </m:r>
        <m:r>
          <m:t>1.06480248</m:t>
        </m:r>
        <m:r>
          <m:rPr>
            <m:sty m:val="p"/>
          </m:rPr>
          <m:t>×</m:t>
        </m:r>
        <m:sSup>
          <m:e>
            <m:r>
              <m:t>10</m:t>
            </m:r>
          </m:e>
          <m:sup>
            <m:r>
              <m:rPr>
                <m:sty m:val="p"/>
              </m:rPr>
              <m:t>−</m:t>
            </m:r>
            <m:r>
              <m:t>9</m:t>
            </m:r>
          </m:sup>
        </m:sSup>
      </m:oMath>
      <w:r>
        <w:t xml:space="preserve">, which fails the selected target.</w:t>
      </w:r>
    </w:p>
    <w:p>
      <w:pPr>
        <w:pStyle w:val="Compact"/>
        <w:numPr>
          <w:ilvl w:val="0"/>
          <w:numId w:val="1006"/>
        </w:numPr>
      </w:pPr>
      <w:r>
        <w:t xml:space="preserve">At depth</w:t>
      </w:r>
      <w:r>
        <w:t xml:space="preserve"> </w:t>
      </w:r>
      <m:oMath>
        <m:r>
          <m:t>z</m:t>
        </m:r>
        <m:r>
          <m:rPr>
            <m:sty m:val="p"/>
          </m:rPr>
          <m:t>=</m:t>
        </m:r>
        <m:r>
          <m:t>105</m:t>
        </m:r>
      </m:oMath>
      <w:r>
        <w:t xml:space="preserve">,</w:t>
      </w:r>
      <w:r>
        <w:t xml:space="preserve"> </w:t>
      </w:r>
      <m:oMath>
        <m:sSub>
          <m:e>
            <m:r>
              <m:t>P</m:t>
            </m:r>
          </m:e>
          <m:sub>
            <m:r>
              <m:rPr>
                <m:sty m:val="p"/>
              </m:rPr>
              <m:t>c</m:t>
            </m:r>
            <m:r>
              <m:rPr>
                <m:sty m:val="p"/>
              </m:rPr>
              <m:t>a</m:t>
            </m:r>
            <m:r>
              <m:rPr>
                <m:sty m:val="p"/>
              </m:rPr>
              <m:t>t</m:t>
            </m:r>
            <m:r>
              <m:rPr>
                <m:sty m:val="p"/>
              </m:rPr>
              <m:t>c</m:t>
            </m:r>
            <m:r>
              <m:rPr>
                <m:sty m:val="p"/>
              </m:rPr>
              <m:t>h</m:t>
            </m:r>
          </m:sub>
        </m:sSub>
        <m:r>
          <m:rPr>
            <m:sty m:val="p"/>
          </m:rPr>
          <m:t>=</m:t>
        </m:r>
        <m:r>
          <m:t>8.77327768</m:t>
        </m:r>
        <m:r>
          <m:rPr>
            <m:sty m:val="p"/>
          </m:rPr>
          <m:t>×</m:t>
        </m:r>
        <m:sSup>
          <m:e>
            <m:r>
              <m:t>10</m:t>
            </m:r>
          </m:e>
          <m:sup>
            <m:r>
              <m:rPr>
                <m:sty m:val="p"/>
              </m:rPr>
              <m:t>−</m:t>
            </m:r>
            <m:r>
              <m:t>10</m:t>
            </m:r>
          </m:sup>
        </m:sSup>
      </m:oMath>
      <w:r>
        <w:t xml:space="preserve">, which passes.</w:t>
      </w:r>
    </w:p>
    <w:p>
      <w:pPr>
        <w:pStyle w:val="FirstParagraph"/>
      </w:pPr>
      <w:r>
        <w:t xml:space="preserve">Therefore 104 fails the selected target and 105 passes. The containing block is depth zero, so maturity means</w:t>
      </w:r>
      <w:r>
        <w:t xml:space="preserve"> </w:t>
      </w:r>
      <w:r>
        <w:rPr>
          <w:b/>
          <w:bCs/>
        </w:rPr>
        <w:t xml:space="preserve">105 canonical descendants</w:t>
      </w:r>
      <w:r>
        <w:t xml:space="preserve">.</w:t>
      </w:r>
    </w:p>
    <w:bookmarkEnd w:id="61"/>
    <w:bookmarkStart w:id="62" w:name="exact-field-challenge-sampling"/>
    <w:p>
      <w:pPr>
        <w:pStyle w:val="Heading3"/>
      </w:pPr>
      <w:r>
        <w:t xml:space="preserve">11.2 Exact field challenge sampling</w:t>
      </w:r>
    </w:p>
    <w:p>
      <w:pPr>
        <w:pStyle w:val="FirstParagraph"/>
      </w:pPr>
      <w:r>
        <w:t xml:space="preserve">The production profile derives Fp8 challenges from SHAKE256 using exact rejection sampling rather than biased modular reduction.</w:t>
      </w:r>
    </w:p>
    <w:p>
      <w:pPr>
        <w:pStyle w:val="BodyText"/>
      </w:pPr>
      <w:r>
        <w:t xml:space="preserve">Let</w:t>
      </w:r>
    </w:p>
    <w:p>
      <w:pPr>
        <w:pStyle w:val="BodyText"/>
      </w:pPr>
      <m:oMathPara>
        <m:oMathParaPr>
          <m:jc m:val="center"/>
        </m:oMathParaPr>
        <m:oMath>
          <m:r>
            <m:t>N</m:t>
          </m:r>
          <m:r>
            <m:rPr>
              <m:sty m:val="p"/>
            </m:rPr>
            <m:t>=</m:t>
          </m:r>
          <m:sSup>
            <m:e>
              <m:r>
                <m:t>p</m:t>
              </m:r>
            </m:e>
            <m:sup>
              <m:r>
                <m:t>8</m:t>
              </m:r>
            </m:sup>
          </m:sSup>
          <m:r>
            <m:rPr>
              <m:sty m:val="p"/>
            </m:rPr>
            <m:t>,</m:t>
          </m:r>
          <m:r>
            <m:t>  </m:t>
          </m:r>
          <m:r>
            <m:t>Q</m:t>
          </m:r>
          <m:r>
            <m:rPr>
              <m:sty m:val="p"/>
            </m:rPr>
            <m:t>=</m:t>
          </m:r>
          <m:sSup>
            <m:e>
              <m:r>
                <m:t>2</m:t>
              </m:r>
            </m:e>
            <m:sup>
              <m:r>
                <m:t>512</m:t>
              </m:r>
            </m:sup>
          </m:sSup>
          <m:r>
            <m:rPr>
              <m:sty m:val="p"/>
            </m:rPr>
            <m:t>,</m:t>
          </m:r>
        </m:oMath>
      </m:oMathPara>
    </w:p>
    <w:p>
      <w:pPr>
        <w:pStyle w:val="FirstParagraph"/>
      </w:pPr>
      <w:r>
        <w:t xml:space="preserve">and define</w:t>
      </w:r>
    </w:p>
    <w:p>
      <w:pPr>
        <w:pStyle w:val="BodyText"/>
      </w:pPr>
      <m:oMathPara>
        <m:oMathParaPr>
          <m:jc m:val="center"/>
        </m:oMathParaPr>
        <m:oMath>
          <m:r>
            <m:t>L</m:t>
          </m:r>
          <m:r>
            <m:rPr>
              <m:sty m:val="p"/>
            </m:rPr>
            <m:t>=</m:t>
          </m:r>
          <m:r>
            <m:rPr>
              <m:sty m:val="p"/>
            </m:rPr>
            <m:t>f</m:t>
          </m:r>
          <m:r>
            <m:rPr>
              <m:sty m:val="p"/>
            </m:rPr>
            <m:t>l</m:t>
          </m:r>
          <m:r>
            <m:rPr>
              <m:sty m:val="p"/>
            </m:rPr>
            <m:t>o</m:t>
          </m:r>
          <m:r>
            <m:rPr>
              <m:sty m:val="p"/>
            </m:rPr>
            <m:t>o</m:t>
          </m:r>
          <m:r>
            <m:rPr>
              <m:sty m:val="p"/>
            </m:rPr>
            <m:t>r</m:t>
          </m:r>
          <m:r>
            <m:t>​</m:t>
          </m:r>
          <m:d>
            <m:dPr>
              <m:begChr m:val="("/>
              <m:endChr m:val=")"/>
              <m:sepChr m:val=""/>
              <m:grow/>
            </m:dPr>
            <m:e>
              <m:f>
                <m:fPr>
                  <m:type m:val="bar"/>
                </m:fPr>
                <m:num>
                  <m:r>
                    <m:t>Q</m:t>
                  </m:r>
                </m:num>
                <m:den>
                  <m:r>
                    <m:t>N</m:t>
                  </m:r>
                </m:den>
              </m:f>
            </m:e>
          </m:d>
          <m:r>
            <m:t>N</m:t>
          </m:r>
          <m:r>
            <m:rPr>
              <m:sty m:val="p"/>
            </m:rPr>
            <m:t>.</m:t>
          </m:r>
        </m:oMath>
      </m:oMathPara>
    </w:p>
    <w:p>
      <w:pPr>
        <w:pStyle w:val="FirstParagraph"/>
      </w:pPr>
      <w:r>
        <w:t xml:space="preserve">Draw a uniformly distributed 512-bit integer</w:t>
      </w:r>
      <w:r>
        <w:t xml:space="preserve"> </w:t>
      </w:r>
      <m:oMath>
        <m:r>
          <m:t>X</m:t>
        </m:r>
      </m:oMath>
      <w:r>
        <w:t xml:space="preserve"> </w:t>
      </w:r>
      <w:r>
        <w:t xml:space="preserve">satisfying</w:t>
      </w:r>
      <w:r>
        <w:t xml:space="preserve"> </w:t>
      </w:r>
      <m:oMath>
        <m:r>
          <m:t>0</m:t>
        </m:r>
        <m:r>
          <m:rPr>
            <m:sty m:val="p"/>
          </m:rPr>
          <m:t>≤</m:t>
        </m:r>
        <m:r>
          <m:t>X</m:t>
        </m:r>
        <m:r>
          <m:rPr>
            <m:sty m:val="p"/>
          </m:rPr>
          <m:t>&lt;</m:t>
        </m:r>
        <m:r>
          <m:t>Q</m:t>
        </m:r>
      </m:oMath>
      <w:r>
        <w:t xml:space="preserve">. Accept only if</w:t>
      </w:r>
    </w:p>
    <w:p>
      <w:pPr>
        <w:pStyle w:val="BodyText"/>
      </w:pPr>
      <m:oMathPara>
        <m:oMathParaPr>
          <m:jc m:val="center"/>
        </m:oMathParaPr>
        <m:oMath>
          <m:r>
            <m:t>X</m:t>
          </m:r>
          <m:r>
            <m:rPr>
              <m:sty m:val="p"/>
            </m:rPr>
            <m:t>&lt;</m:t>
          </m:r>
          <m:r>
            <m:t>L</m:t>
          </m:r>
          <m:r>
            <m:rPr>
              <m:sty m:val="p"/>
            </m:rPr>
            <m:t>.</m:t>
          </m:r>
        </m:oMath>
      </m:oMathPara>
    </w:p>
    <w:p>
      <w:pPr>
        <w:pStyle w:val="FirstParagraph"/>
      </w:pPr>
      <w:r>
        <w:t xml:space="preserve">Then output</w:t>
      </w:r>
    </w:p>
    <w:p>
      <w:pPr>
        <w:pStyle w:val="BodyText"/>
      </w:pPr>
      <m:oMathPara>
        <m:oMathParaPr>
          <m:jc m:val="center"/>
        </m:oMathParaPr>
        <m:oMath>
          <m:r>
            <m:t>c</m:t>
          </m:r>
          <m:r>
            <m:rPr>
              <m:sty m:val="p"/>
            </m:rPr>
            <m:t>=</m:t>
          </m:r>
          <m:r>
            <m:t>X</m:t>
          </m:r>
          <m:r>
            <m:t> </m:t>
          </m:r>
          <m:r>
            <m:rPr>
              <m:sty m:val="p"/>
            </m:rPr>
            <m:t>mod</m:t>
          </m:r>
          <m:r>
            <m:t> </m:t>
          </m:r>
          <m:r>
            <m:t>N</m:t>
          </m:r>
          <m:r>
            <m:rPr>
              <m:sty m:val="p"/>
            </m:rPr>
            <m:t>.</m:t>
          </m:r>
        </m:oMath>
      </m:oMathPara>
    </w:p>
    <w:p>
      <w:pPr>
        <w:pStyle w:val="FirstParagraph"/>
      </w:pPr>
      <w:r>
        <w:t xml:space="preserve">Every residue in</w:t>
      </w:r>
      <w:r>
        <w:t xml:space="preserve"> </w:t>
      </w:r>
      <m:oMath>
        <m:r>
          <m:rPr>
            <m:sty m:val="p"/>
          </m:rPr>
          <m:t>{</m:t>
        </m:r>
        <m:r>
          <m:t>0</m:t>
        </m:r>
        <m:r>
          <m:rPr>
            <m:sty m:val="p"/>
          </m:rPr>
          <m:t>,</m:t>
        </m:r>
        <m:r>
          <m:rPr>
            <m:sty m:val="p"/>
          </m:rPr>
          <m:t>…</m:t>
        </m:r>
        <m:r>
          <m:rPr>
            <m:sty m:val="p"/>
          </m:rPr>
          <m:t>,</m:t>
        </m:r>
        <m:r>
          <m:t>N</m:t>
        </m:r>
        <m:r>
          <m:rPr>
            <m:sty m:val="p"/>
          </m:rPr>
          <m:t>−</m:t>
        </m:r>
        <m:r>
          <m:t>1</m:t>
        </m:r>
        <m:r>
          <m:rPr>
            <m:sty m:val="p"/>
          </m:rPr>
          <m:t>}</m:t>
        </m:r>
      </m:oMath>
      <w:r>
        <w:t xml:space="preserve"> </w:t>
      </w:r>
      <w:r>
        <w:t xml:space="preserve">has exactly</w:t>
      </w:r>
      <w:r>
        <w:t xml:space="preserve"> </w:t>
      </w:r>
      <m:oMath>
        <m:r>
          <m:rPr>
            <m:sty m:val="p"/>
          </m:rPr>
          <m:t>f</m:t>
        </m:r>
        <m:r>
          <m:rPr>
            <m:sty m:val="p"/>
          </m:rPr>
          <m:t>l</m:t>
        </m:r>
        <m:r>
          <m:rPr>
            <m:sty m:val="p"/>
          </m:rPr>
          <m:t>o</m:t>
        </m:r>
        <m:r>
          <m:rPr>
            <m:sty m:val="p"/>
          </m:rPr>
          <m:t>o</m:t>
        </m:r>
        <m:r>
          <m:rPr>
            <m:sty m:val="p"/>
          </m:rPr>
          <m:t>r</m:t>
        </m:r>
        <m:d>
          <m:dPr>
            <m:begChr m:val="("/>
            <m:endChr m:val=")"/>
            <m:sepChr m:val=""/>
            <m:grow/>
          </m:dPr>
          <m:e>
            <m:r>
              <m:t>Q</m:t>
            </m:r>
            <m:r>
              <m:rPr>
                <m:sty m:val="p"/>
              </m:rPr>
              <m:t>/</m:t>
            </m:r>
            <m:r>
              <m:t>N</m:t>
            </m:r>
          </m:e>
        </m:d>
      </m:oMath>
      <w:r>
        <w:t xml:space="preserve"> </w:t>
      </w:r>
      <w:r>
        <w:t xml:space="preserve">accepted preimages. Therefore</w:t>
      </w:r>
      <w:r>
        <w:t xml:space="preserve"> </w:t>
      </w:r>
      <m:oMath>
        <m:r>
          <m:t>c</m:t>
        </m:r>
      </m:oMath>
      <w:r>
        <w:t xml:space="preserve"> </w:t>
      </w:r>
      <w:r>
        <w:t xml:space="preserve">is exactly uniform over the field representation, conditioned on acceptance. A rejected sample is retried with the frozen domain/counter rules.</w:t>
      </w:r>
    </w:p>
    <w:bookmarkEnd w:id="62"/>
    <w:bookmarkStart w:id="63" w:name="logup-false-identity-intuition"/>
    <w:p>
      <w:pPr>
        <w:pStyle w:val="Heading3"/>
      </w:pPr>
      <w:r>
        <w:t xml:space="preserve">11.3 LogUp false-identity intuition</w:t>
      </w:r>
    </w:p>
    <w:p>
      <w:pPr>
        <w:pStyle w:val="FirstParagraph"/>
      </w:pPr>
      <w:r>
        <w:t xml:space="preserve">Suppose the two sides of the LogUp rational identity are not equal. Clearing denominators yields a nonzero polynomial</w:t>
      </w:r>
      <w:r>
        <w:t xml:space="preserve"> </w:t>
      </w:r>
      <m:oMath>
        <m:r>
          <m:t>g</m:t>
        </m:r>
        <m:d>
          <m:dPr>
            <m:begChr m:val="("/>
            <m:endChr m:val=")"/>
            <m:sepChr m:val=""/>
            <m:grow/>
          </m:dPr>
          <m:e>
            <m:r>
              <m:t>β</m:t>
            </m:r>
          </m:e>
        </m:d>
      </m:oMath>
      <w:r>
        <w:t xml:space="preserve">. If</w:t>
      </w:r>
      <w:r>
        <w:t xml:space="preserve"> </w:t>
      </w:r>
      <m:oMath>
        <m:r>
          <m:t>g</m:t>
        </m:r>
      </m:oMath>
      <w:r>
        <w:t xml:space="preserve"> </w:t>
      </w:r>
      <w:r>
        <w:t xml:space="preserve">has degree at most</w:t>
      </w:r>
      <w:r>
        <w:t xml:space="preserve"> </w:t>
      </w:r>
      <m:oMath>
        <m:r>
          <m:t>d</m:t>
        </m:r>
      </m:oMath>
      <w:r>
        <w:t xml:space="preserve"> </w:t>
      </w:r>
      <w:r>
        <w:t xml:space="preserve">over field</w:t>
      </w:r>
      <w:r>
        <w:t xml:space="preserve"> </w:t>
      </w:r>
      <m:oMath>
        <m:r>
          <m:rPr>
            <m:sty m:val="p"/>
            <m:scr m:val="double-struck"/>
          </m:rPr>
          <m:t>F</m:t>
        </m:r>
      </m:oMath>
      <w:r>
        <w:t xml:space="preserve">, a uniformly random challenge satisfies the false identity with probability at most</w:t>
      </w:r>
    </w:p>
    <w:p>
      <w:pPr>
        <w:pStyle w:val="BodyText"/>
      </w:pPr>
      <m:oMathPara>
        <m:oMathParaPr>
          <m:jc m:val="center"/>
        </m:oMathParaPr>
        <m:oMath>
          <m:r>
            <m:rPr>
              <m:sty m:val="p"/>
            </m:rPr>
            <m:t>Pr</m:t>
          </m:r>
          <m:d>
            <m:dPr>
              <m:begChr m:val="["/>
              <m:endChr m:val="]"/>
              <m:sepChr m:val=""/>
              <m:grow/>
            </m:dPr>
            <m:e>
              <m:r>
                <m:t>g</m:t>
              </m:r>
              <m:d>
                <m:dPr>
                  <m:begChr m:val="("/>
                  <m:endChr m:val=")"/>
                  <m:sepChr m:val=""/>
                  <m:grow/>
                </m:dPr>
                <m:e>
                  <m:r>
                    <m:t>β</m:t>
                  </m:r>
                </m:e>
              </m:d>
              <m:r>
                <m:rPr>
                  <m:sty m:val="p"/>
                </m:rPr>
                <m:t>=</m:t>
              </m:r>
              <m:r>
                <m:t>0</m:t>
              </m:r>
            </m:e>
          </m:d>
          <m:r>
            <m:rPr>
              <m:sty m:val="p"/>
            </m:rPr>
            <m:t>≤</m:t>
          </m:r>
          <m:f>
            <m:fPr>
              <m:type m:val="bar"/>
            </m:fPr>
            <m:num>
              <m:r>
                <m:t>d</m:t>
              </m:r>
            </m:num>
            <m:den>
              <m:d>
                <m:dPr>
                  <m:begChr m:val="|"/>
                  <m:endChr m:val="|"/>
                  <m:sepChr m:val=""/>
                  <m:grow/>
                </m:dPr>
                <m:e>
                  <m:r>
                    <m:rPr>
                      <m:sty m:val="p"/>
                      <m:scr m:val="double-struck"/>
                    </m:rPr>
                    <m:t>F</m:t>
                  </m:r>
                </m:e>
              </m:d>
            </m:den>
          </m:f>
        </m:oMath>
      </m:oMathPara>
    </w:p>
    <w:p>
      <w:pPr>
        <w:pStyle w:val="FirstParagraph"/>
      </w:pPr>
      <w:r>
        <w:t xml:space="preserve">by the standard root bound. The frozen M8 ledger performs the actual protocol-specific union accounting; the resulting Fp4 LogUp screen is approximately 220 bits.</w:t>
      </w:r>
    </w:p>
    <w:bookmarkEnd w:id="63"/>
    <w:bookmarkStart w:id="64" w:name="fixed-keccak-assumption"/>
    <w:p>
      <w:pPr>
        <w:pStyle w:val="Heading3"/>
      </w:pPr>
      <w:r>
        <w:t xml:space="preserve">11.4 Fixed-Keccak assumption</w:t>
      </w:r>
    </w:p>
    <w:p>
      <w:pPr>
        <w:pStyle w:val="FirstParagraph"/>
      </w:pPr>
      <w:r>
        <w:t xml:space="preserve">The proof reductions reason about random/product-oracle behavior, while the implementation uses fixed FIPS 202 Keccak constructions [2]. BitFP therefore states an explicit assumption rather than claiming that Keccak is proven to be a random oracle:</w:t>
      </w:r>
    </w:p>
    <w:p>
      <w:pPr>
        <w:pStyle w:val="SourceCode"/>
      </w:pPr>
      <w:r>
        <w:rPr>
          <w:rStyle w:val="VerbatimChar"/>
        </w:rPr>
        <w:t xml:space="preserve">M8-FIXED-KECCAK-PRODUCT-QRO-Q64-ADV160-V1</w:t>
      </w:r>
    </w:p>
    <w:p>
      <w:pPr>
        <w:pStyle w:val="FirstParagraph"/>
      </w:pPr>
      <w:r>
        <w:t xml:space="preserve">The assumption bounds the relevant distinguishing/forgery contribution by</w:t>
      </w:r>
    </w:p>
    <w:p>
      <w:pPr>
        <w:pStyle w:val="BodyText"/>
      </w:pPr>
      <m:oMathPara>
        <m:oMathParaPr>
          <m:jc m:val="center"/>
        </m:oMathParaPr>
        <m:oMath>
          <m:sSub>
            <m:e>
              <m:r>
                <m:t>ϵ</m:t>
              </m:r>
            </m:e>
            <m:sub>
              <m:r>
                <m:t>K</m:t>
              </m:r>
            </m:sub>
          </m:sSub>
          <m:r>
            <m:rPr>
              <m:sty m:val="p"/>
            </m:rPr>
            <m:t>≤</m:t>
          </m:r>
          <m:sSup>
            <m:e>
              <m:r>
                <m:t>2</m:t>
              </m:r>
            </m:e>
            <m:sup>
              <m:r>
                <m:rPr>
                  <m:sty m:val="p"/>
                </m:rPr>
                <m:t>−</m:t>
              </m:r>
              <m:r>
                <m:t>160</m:t>
              </m:r>
            </m:sup>
          </m:sSup>
        </m:oMath>
      </m:oMathPara>
    </w:p>
    <w:p>
      <w:pPr>
        <w:pStyle w:val="FirstParagraph"/>
      </w:pPr>
      <w:r>
        <w:t xml:space="preserve">for adversarial quantum query budget</w:t>
      </w:r>
    </w:p>
    <w:p>
      <w:pPr>
        <w:pStyle w:val="BodyText"/>
      </w:pPr>
      <m:oMathPara>
        <m:oMathParaPr>
          <m:jc m:val="center"/>
        </m:oMathParaPr>
        <m:oMath>
          <m:sSub>
            <m:e>
              <m:r>
                <m:t>q</m:t>
              </m:r>
            </m:e>
            <m:sub>
              <m:r>
                <m:rPr>
                  <m:sty m:val="p"/>
                </m:rPr>
                <m:t>Q</m:t>
              </m:r>
              <m:r>
                <m:rPr>
                  <m:sty m:val="p"/>
                </m:rPr>
                <m:t>R</m:t>
              </m:r>
              <m:r>
                <m:rPr>
                  <m:sty m:val="p"/>
                </m:rPr>
                <m:t>O</m:t>
              </m:r>
            </m:sub>
          </m:sSub>
          <m:r>
            <m:rPr>
              <m:sty m:val="p"/>
            </m:rPr>
            <m:t>≤</m:t>
          </m:r>
          <m:sSup>
            <m:e>
              <m:r>
                <m:t>2</m:t>
              </m:r>
            </m:e>
            <m:sup>
              <m:r>
                <m:t>64</m:t>
              </m:r>
            </m:sup>
          </m:sSup>
          <m:r>
            <m:rPr>
              <m:sty m:val="p"/>
            </m:rPr>
            <m:t>.</m:t>
          </m:r>
        </m:oMath>
      </m:oMathPara>
    </w:p>
    <w:bookmarkEnd w:id="64"/>
    <w:bookmarkStart w:id="65" w:name="composed-post-quantum-soundness"/>
    <w:p>
      <w:pPr>
        <w:pStyle w:val="Heading3"/>
      </w:pPr>
      <w:r>
        <w:t xml:space="preserve">11.5 Composed post-quantum soundness</w:t>
      </w:r>
    </w:p>
    <w:p>
      <w:pPr>
        <w:pStyle w:val="FirstParagraph"/>
      </w:pPr>
      <w:r>
        <w:t xml:space="preserve">Let the displayed major failure terms be</w:t>
      </w:r>
    </w:p>
    <w:p>
      <w:pPr>
        <w:pStyle w:val="Compact"/>
        <w:numPr>
          <w:ilvl w:val="0"/>
          <w:numId w:val="1007"/>
        </w:numPr>
      </w:pPr>
      <m:oMath>
        <m:sSub>
          <m:e>
            <m:r>
              <m:t>ϵ</m:t>
            </m:r>
          </m:e>
          <m:sub>
            <m:r>
              <m:t>C</m:t>
            </m:r>
            <m:r>
              <m:t>M</m:t>
            </m:r>
            <m:r>
              <m:t>S</m:t>
            </m:r>
          </m:sub>
        </m:sSub>
      </m:oMath>
      <w:r>
        <w:t xml:space="preserve">: four-session CMS19/product-QRO term;</w:t>
      </w:r>
    </w:p>
    <w:p>
      <w:pPr>
        <w:pStyle w:val="Compact"/>
        <w:numPr>
          <w:ilvl w:val="0"/>
          <w:numId w:val="1007"/>
        </w:numPr>
      </w:pPr>
      <m:oMath>
        <m:sSub>
          <m:e>
            <m:r>
              <m:t>ϵ</m:t>
            </m:r>
          </m:e>
          <m:sub>
            <m:r>
              <m:t>L</m:t>
            </m:r>
            <m:r>
              <m:t>U</m:t>
            </m:r>
          </m:sub>
        </m:sSub>
      </m:oMath>
      <w:r>
        <w:t xml:space="preserve">: Fp4 LogUp union term;</w:t>
      </w:r>
    </w:p>
    <w:p>
      <w:pPr>
        <w:pStyle w:val="Compact"/>
        <w:numPr>
          <w:ilvl w:val="0"/>
          <w:numId w:val="1007"/>
        </w:numPr>
      </w:pPr>
      <m:oMath>
        <m:sSub>
          <m:e>
            <m:r>
              <m:t>ϵ</m:t>
            </m:r>
          </m:e>
          <m:sub>
            <m:r>
              <m:t>P</m:t>
            </m:r>
            <m:r>
              <m:t>C</m:t>
            </m:r>
            <m:r>
              <m:t>S</m:t>
            </m:r>
          </m:sub>
        </m:sSub>
      </m:oMath>
      <w:r>
        <w:t xml:space="preserve">: PCS cross-opening term;</w:t>
      </w:r>
    </w:p>
    <w:p>
      <w:pPr>
        <w:pStyle w:val="Compact"/>
        <w:numPr>
          <w:ilvl w:val="0"/>
          <w:numId w:val="1007"/>
        </w:numPr>
      </w:pPr>
      <m:oMath>
        <m:sSub>
          <m:e>
            <m:r>
              <m:t>ϵ</m:t>
            </m:r>
          </m:e>
          <m:sub>
            <m:r>
              <m:t>K</m:t>
            </m:r>
          </m:sub>
        </m:sSub>
      </m:oMath>
      <w:r>
        <w:t xml:space="preserve">: fixed-Keccak instantiation term.</w:t>
      </w:r>
    </w:p>
    <w:p>
      <w:pPr>
        <w:pStyle w:val="FirstParagraph"/>
      </w:pPr>
      <w:r>
        <w:t xml:space="preserve">The conservative composition is</w:t>
      </w:r>
    </w:p>
    <w:p>
      <w:pPr>
        <w:pStyle w:val="BodyText"/>
      </w:pPr>
      <m:oMathPara>
        <m:oMathParaPr>
          <m:jc m:val="center"/>
        </m:oMathParaPr>
        <m:oMath>
          <m:sSub>
            <m:e>
              <m:r>
                <m:t>ϵ</m:t>
              </m:r>
            </m:e>
            <m:sub>
              <m:r>
                <m:rPr>
                  <m:sty m:val="p"/>
                </m:rPr>
                <m:t>t</m:t>
              </m:r>
              <m:r>
                <m:rPr>
                  <m:sty m:val="p"/>
                </m:rPr>
                <m:t>o</m:t>
              </m:r>
              <m:r>
                <m:rPr>
                  <m:sty m:val="p"/>
                </m:rPr>
                <m:t>t</m:t>
              </m:r>
              <m:r>
                <m:rPr>
                  <m:sty m:val="p"/>
                </m:rPr>
                <m:t>a</m:t>
              </m:r>
              <m:r>
                <m:rPr>
                  <m:sty m:val="p"/>
                </m:rPr>
                <m:t>l</m:t>
              </m:r>
            </m:sub>
          </m:sSub>
          <m:r>
            <m:rPr>
              <m:sty m:val="p"/>
            </m:rPr>
            <m:t>≤</m:t>
          </m:r>
          <m:sSub>
            <m:e>
              <m:r>
                <m:t>ϵ</m:t>
              </m:r>
            </m:e>
            <m:sub>
              <m:r>
                <m:t>C</m:t>
              </m:r>
              <m:r>
                <m:t>M</m:t>
              </m:r>
              <m:r>
                <m:t>S</m:t>
              </m:r>
            </m:sub>
          </m:sSub>
          <m:r>
            <m:rPr>
              <m:sty m:val="p"/>
            </m:rPr>
            <m:t>+</m:t>
          </m:r>
          <m:sSub>
            <m:e>
              <m:r>
                <m:t>ϵ</m:t>
              </m:r>
            </m:e>
            <m:sub>
              <m:r>
                <m:t>L</m:t>
              </m:r>
              <m:r>
                <m:t>U</m:t>
              </m:r>
            </m:sub>
          </m:sSub>
          <m:r>
            <m:rPr>
              <m:sty m:val="p"/>
            </m:rPr>
            <m:t>+</m:t>
          </m:r>
          <m:sSub>
            <m:e>
              <m:r>
                <m:t>ϵ</m:t>
              </m:r>
            </m:e>
            <m:sub>
              <m:r>
                <m:t>P</m:t>
              </m:r>
              <m:r>
                <m:t>C</m:t>
              </m:r>
              <m:r>
                <m:t>S</m:t>
              </m:r>
            </m:sub>
          </m:sSub>
          <m:r>
            <m:rPr>
              <m:sty m:val="p"/>
            </m:rPr>
            <m:t>+</m:t>
          </m:r>
          <m:sSub>
            <m:e>
              <m:r>
                <m:t>ϵ</m:t>
              </m:r>
            </m:e>
            <m:sub>
              <m:r>
                <m:t>K</m:t>
              </m:r>
            </m:sub>
          </m:sSub>
          <m:r>
            <m:rPr>
              <m:sty m:val="p"/>
            </m:rPr>
            <m:t>.</m:t>
          </m:r>
        </m:oMath>
      </m:oMathPara>
    </w:p>
    <w:p>
      <w:pPr>
        <w:pStyle w:val="FirstParagraph"/>
      </w:pPr>
      <w:r>
        <w:t xml:space="preserve">Define concrete security bits as</w:t>
      </w:r>
    </w:p>
    <w:p>
      <w:pPr>
        <w:pStyle w:val="BodyText"/>
      </w:pPr>
      <m:oMathPara>
        <m:oMathParaPr>
          <m:jc m:val="center"/>
        </m:oMathParaPr>
        <m:oMath>
          <m:sSub>
            <m:e>
              <m:r>
                <m:t>b</m:t>
              </m:r>
            </m:e>
            <m:sub>
              <m:r>
                <m:rPr>
                  <m:sty m:val="p"/>
                </m:rPr>
                <m:t>s</m:t>
              </m:r>
              <m:r>
                <m:rPr>
                  <m:sty m:val="p"/>
                </m:rPr>
                <m:t>e</m:t>
              </m:r>
              <m:r>
                <m:rPr>
                  <m:sty m:val="p"/>
                </m:rPr>
                <m:t>c</m:t>
              </m:r>
            </m:sub>
          </m:sSub>
          <m:r>
            <m:rPr>
              <m:sty m:val="p"/>
            </m:rPr>
            <m:t>=</m:t>
          </m:r>
          <m:r>
            <m:rPr>
              <m:sty m:val="p"/>
            </m:rPr>
            <m:t>−</m:t>
          </m:r>
          <m:sSub>
            <m:e>
              <m:r>
                <m:rPr>
                  <m:sty m:val="p"/>
                </m:rPr>
                <m:t>log</m:t>
              </m:r>
            </m:e>
            <m:sub>
              <m:r>
                <m:t>2</m:t>
              </m:r>
            </m:sub>
          </m:sSub>
          <m:d>
            <m:dPr>
              <m:begChr m:val="("/>
              <m:endChr m:val=")"/>
              <m:sepChr m:val=""/>
              <m:grow/>
            </m:dPr>
            <m:e>
              <m:sSub>
                <m:e>
                  <m:r>
                    <m:t>ϵ</m:t>
                  </m:r>
                </m:e>
                <m:sub>
                  <m:r>
                    <m:rPr>
                      <m:sty m:val="p"/>
                    </m:rPr>
                    <m:t>t</m:t>
                  </m:r>
                  <m:r>
                    <m:rPr>
                      <m:sty m:val="p"/>
                    </m:rPr>
                    <m:t>o</m:t>
                  </m:r>
                  <m:r>
                    <m:rPr>
                      <m:sty m:val="p"/>
                    </m:rPr>
                    <m:t>t</m:t>
                  </m:r>
                  <m:r>
                    <m:rPr>
                      <m:sty m:val="p"/>
                    </m:rPr>
                    <m:t>a</m:t>
                  </m:r>
                  <m:r>
                    <m:rPr>
                      <m:sty m:val="p"/>
                    </m:rPr>
                    <m:t>l</m:t>
                  </m:r>
                </m:sub>
              </m:sSub>
            </m:e>
          </m:d>
          <m:r>
            <m:rPr>
              <m:sty m:val="p"/>
            </m:rPr>
            <m:t>.</m:t>
          </m:r>
        </m:oMath>
      </m:oMathPara>
    </w:p>
    <w:p>
      <w:pPr>
        <w:pStyle w:val="FirstParagraph"/>
      </w:pPr>
      <w:r>
        <w:t xml:space="preserve">The frozen ledger records the following displayed component strengths:</w:t>
      </w:r>
    </w:p>
    <w:p>
      <w:pPr>
        <w:pStyle w:val="Compact"/>
        <w:numPr>
          <w:ilvl w:val="0"/>
          <w:numId w:val="1008"/>
        </w:numPr>
      </w:pPr>
      <w:r>
        <w:t xml:space="preserve">Four-session CMS19/product-QRO:</w:t>
      </w:r>
      <w:r>
        <w:t xml:space="preserve"> </w:t>
      </w:r>
      <w:r>
        <w:rPr>
          <w:b/>
          <w:bCs/>
        </w:rPr>
        <w:t xml:space="preserve">146.521195714087 bits</w:t>
      </w:r>
      <w:r>
        <w:t xml:space="preserve">.</w:t>
      </w:r>
    </w:p>
    <w:p>
      <w:pPr>
        <w:pStyle w:val="Compact"/>
        <w:numPr>
          <w:ilvl w:val="0"/>
          <w:numId w:val="1008"/>
        </w:numPr>
      </w:pPr>
      <w:r>
        <w:t xml:space="preserve">Fp4 LogUp union screen:</w:t>
      </w:r>
      <w:r>
        <w:t xml:space="preserve"> </w:t>
      </w:r>
      <w:r>
        <w:rPr>
          <w:b/>
          <w:bCs/>
        </w:rPr>
        <w:t xml:space="preserve">219.999977986389 bits</w:t>
      </w:r>
      <w:r>
        <w:t xml:space="preserve">.</w:t>
      </w:r>
    </w:p>
    <w:p>
      <w:pPr>
        <w:pStyle w:val="Compact"/>
        <w:numPr>
          <w:ilvl w:val="0"/>
          <w:numId w:val="1008"/>
        </w:numPr>
      </w:pPr>
      <w:r>
        <w:t xml:space="preserve">PCS cross-opening screen:</w:t>
      </w:r>
      <w:r>
        <w:t xml:space="preserve"> </w:t>
      </w:r>
      <w:r>
        <w:rPr>
          <w:b/>
          <w:bCs/>
        </w:rPr>
        <w:t xml:space="preserve">234.977632186972 bits</w:t>
      </w:r>
      <w:r>
        <w:t xml:space="preserve">.</w:t>
      </w:r>
    </w:p>
    <w:p>
      <w:pPr>
        <w:pStyle w:val="Compact"/>
        <w:numPr>
          <w:ilvl w:val="0"/>
          <w:numId w:val="1008"/>
        </w:numPr>
      </w:pPr>
      <w:r>
        <w:t xml:space="preserve">Fixed-Keccak instantiation assumption:</w:t>
      </w:r>
      <w:r>
        <w:t xml:space="preserve"> </w:t>
      </w:r>
      <w:r>
        <w:rPr>
          <w:b/>
          <w:bCs/>
        </w:rPr>
        <w:t xml:space="preserve">160 bits</w:t>
      </w:r>
      <w:r>
        <w:t xml:space="preserve">.</w:t>
      </w:r>
    </w:p>
    <w:p>
      <w:pPr>
        <w:pStyle w:val="FirstParagraph"/>
      </w:pPr>
      <w:r>
        <w:t xml:space="preserve">Using the full-precision internal terms, the frozen M8 composed result is</w:t>
      </w:r>
    </w:p>
    <w:p>
      <w:pPr>
        <w:pStyle w:val="BodyText"/>
      </w:pPr>
      <m:oMathPara>
        <m:oMathParaPr>
          <m:jc m:val="center"/>
        </m:oMathParaPr>
        <m:oMath>
          <m:borderBox>
            <m:e>
              <m:sSub>
                <m:e>
                  <m:r>
                    <m:t>b</m:t>
                  </m:r>
                </m:e>
                <m:sub>
                  <m:r>
                    <m:rPr>
                      <m:sty m:val="p"/>
                    </m:rPr>
                    <m:t>s</m:t>
                  </m:r>
                  <m:r>
                    <m:rPr>
                      <m:sty m:val="p"/>
                    </m:rPr>
                    <m:t>e</m:t>
                  </m:r>
                  <m:r>
                    <m:rPr>
                      <m:sty m:val="p"/>
                    </m:rPr>
                    <m:t>c</m:t>
                  </m:r>
                </m:sub>
              </m:sSub>
              <m:r>
                <m:rPr>
                  <m:sty m:val="p"/>
                </m:rPr>
                <m:t>=</m:t>
              </m:r>
              <m:r>
                <m:t>146.521069347829899925285615048305</m:t>
              </m:r>
              <m:r>
                <m:t> </m:t>
              </m:r>
              <m:r>
                <m:rPr>
                  <m:sty m:val="p"/>
                </m:rPr>
                <m:t>b</m:t>
              </m:r>
              <m:r>
                <m:rPr>
                  <m:sty m:val="p"/>
                </m:rPr>
                <m:t>i</m:t>
              </m:r>
              <m:r>
                <m:rPr>
                  <m:sty m:val="p"/>
                </m:rPr>
                <m:t>t</m:t>
              </m:r>
              <m:r>
                <m:rPr>
                  <m:sty m:val="p"/>
                </m:rPr>
                <m:t>s</m:t>
              </m:r>
            </m:e>
          </m:borderBox>
        </m:oMath>
      </m:oMathPara>
    </w:p>
    <w:p>
      <w:pPr>
        <w:pStyle w:val="FirstParagraph"/>
      </w:pPr>
      <w:r>
        <w:t xml:space="preserve">which exceeds the selected post-quantum target by</w:t>
      </w:r>
    </w:p>
    <w:p>
      <w:pPr>
        <w:pStyle w:val="BodyText"/>
      </w:pPr>
      <m:oMathPara>
        <m:oMathParaPr>
          <m:jc m:val="center"/>
        </m:oMathParaPr>
        <m:oMath>
          <m:r>
            <m:t>146.5210693478</m:t>
          </m:r>
          <m:r>
            <m:rPr>
              <m:sty m:val="p"/>
            </m:rPr>
            <m:t>−</m:t>
          </m:r>
          <m:r>
            <m:t>128</m:t>
          </m:r>
          <m:r>
            <m:rPr>
              <m:sty m:val="p"/>
            </m:rPr>
            <m:t>≈</m:t>
          </m:r>
          <m:r>
            <m:t>18.5211</m:t>
          </m:r>
          <m:r>
            <m:t> </m:t>
          </m:r>
          <m:r>
            <m:rPr>
              <m:sty m:val="p"/>
            </m:rPr>
            <m:t>b</m:t>
          </m:r>
          <m:r>
            <m:rPr>
              <m:sty m:val="p"/>
            </m:rPr>
            <m:t>i</m:t>
          </m:r>
          <m:r>
            <m:rPr>
              <m:sty m:val="p"/>
            </m:rPr>
            <m:t>t</m:t>
          </m:r>
          <m:r>
            <m:rPr>
              <m:sty m:val="p"/>
            </m:rPr>
            <m:t>s</m:t>
          </m:r>
          <m:r>
            <m:rPr>
              <m:sty m:val="p"/>
            </m:rPr>
            <m:t>.</m:t>
          </m:r>
        </m:oMath>
      </m:oMathPara>
    </w:p>
    <w:p>
      <w:pPr>
        <w:pStyle w:val="FirstParagraph"/>
      </w:pPr>
      <w:r>
        <w:t xml:space="preserve">The dominant displayed term is the CMS19/product-QRO contribution. Increasing already-larger LogUp or PCS margins alone would not materially increase the composed total.</w:t>
      </w:r>
    </w:p>
    <w:bookmarkEnd w:id="65"/>
    <w:bookmarkStart w:id="66" w:name="production-proof-evidence"/>
    <w:p>
      <w:pPr>
        <w:pStyle w:val="Heading3"/>
      </w:pPr>
      <w:r>
        <w:t xml:space="preserve">11.6 Production proof evidence</w:t>
      </w:r>
    </w:p>
    <w:p>
      <w:pPr>
        <w:pStyle w:val="FirstParagraph"/>
      </w:pPr>
      <w:r>
        <w:t xml:space="preserve">The final M9 package used</w:t>
      </w:r>
    </w:p>
    <w:p>
      <w:pPr>
        <w:pStyle w:val="BodyText"/>
      </w:pPr>
      <m:oMathPara>
        <m:oMathParaPr>
          <m:jc m:val="center"/>
        </m:oMathParaPr>
        <m:oMath>
          <m:sSub>
            <m:e>
              <m:r>
                <m:t>N</m:t>
              </m:r>
            </m:e>
            <m:sub>
              <m:r>
                <m:t>T</m:t>
              </m:r>
            </m:sub>
          </m:sSub>
          <m:r>
            <m:rPr>
              <m:sty m:val="p"/>
            </m:rPr>
            <m:t>=</m:t>
          </m:r>
          <m:sSub>
            <m:e>
              <m:r>
                <m:t>N</m:t>
              </m:r>
            </m:e>
            <m:sub>
              <m:r>
                <m:t>L</m:t>
              </m:r>
            </m:sub>
          </m:sSub>
          <m:r>
            <m:rPr>
              <m:sty m:val="p"/>
            </m:rPr>
            <m:t>=</m:t>
          </m:r>
          <m:r>
            <m:t>4</m:t>
          </m:r>
          <m:r>
            <m:rPr>
              <m:sty m:val="p"/>
            </m:rPr>
            <m:t>,</m:t>
          </m:r>
          <m:r>
            <m:t>194</m:t>
          </m:r>
          <m:r>
            <m:rPr>
              <m:sty m:val="p"/>
            </m:rPr>
            <m:t>,</m:t>
          </m:r>
          <m:r>
            <m:t>304</m:t>
          </m:r>
        </m:oMath>
      </m:oMathPara>
    </w:p>
    <w:p>
      <w:pPr>
        <w:pStyle w:val="FirstParagraph"/>
      </w:pPr>
      <w:r>
        <w:t xml:space="preserve">transition and lookup rows. The six-lane production package passed native and independent verification, authenticated 1,048,656 reads over 257,387 distinct dataset addresses, rejected 29 production tamper cases, and passed Receipt/BlockCandidate binding.</w:t>
      </w:r>
    </w:p>
    <w:p>
      <w:pPr>
        <w:pStyle w:val="BodyText"/>
      </w:pPr>
      <w:r>
        <w:t xml:space="preserve">These are implementation facts supporting the frozen relation; they are not substitutes for the security assumptions above.</w:t>
      </w:r>
    </w:p>
    <w:bookmarkEnd w:id="66"/>
    <w:bookmarkEnd w:id="67"/>
    <w:bookmarkStart w:id="71" w:name="X7f3a631b9243a921651093df642ab5df003c0a5"/>
    <w:p>
      <w:pPr>
        <w:pStyle w:val="Heading2"/>
      </w:pPr>
      <w:r>
        <w:t xml:space="preserve">12. Agent Discovery as a Verification Protocol</w:t>
      </w:r>
    </w:p>
    <w:p>
      <w:pPr>
        <w:pStyle w:val="FirstParagraph"/>
      </w:pPr>
      <w:r>
        <w:t xml:space="preserve">For an agent-native chain, discovery is not equivalent to DNS resolution. Let</w:t>
      </w:r>
      <w:r>
        <w:t xml:space="preserve"> </w:t>
      </w:r>
      <m:oMath>
        <m:r>
          <m:t>m</m:t>
        </m:r>
      </m:oMath>
      <w:r>
        <w:t xml:space="preserve"> </w:t>
      </w:r>
      <w:r>
        <w:t xml:space="preserve">be a candidate network manifest obtained from some source. An agent should accept it only if a predicate of the following form holds:</w:t>
      </w:r>
    </w:p>
    <w:p>
      <w:pPr>
        <w:pStyle w:val="BodyText"/>
      </w:pPr>
      <m:oMathPara>
        <m:oMathParaPr>
          <m:jc m:val="center"/>
        </m:oMathParaPr>
        <m:oMath>
          <m:r>
            <m:rPr>
              <m:sty m:val="p"/>
            </m:rPr>
            <m:t>A</m:t>
          </m:r>
          <m:r>
            <m:rPr>
              <m:sty m:val="p"/>
            </m:rPr>
            <m:t>c</m:t>
          </m:r>
          <m:r>
            <m:rPr>
              <m:sty m:val="p"/>
            </m:rPr>
            <m:t>c</m:t>
          </m:r>
          <m:r>
            <m:rPr>
              <m:sty m:val="p"/>
            </m:rPr>
            <m:t>e</m:t>
          </m:r>
          <m:r>
            <m:rPr>
              <m:sty m:val="p"/>
            </m:rPr>
            <m:t>p</m:t>
          </m:r>
          <m:r>
            <m:rPr>
              <m:sty m:val="p"/>
            </m:rPr>
            <m:t>t</m:t>
          </m:r>
          <m:r>
            <m:rPr>
              <m:sty m:val="p"/>
            </m:rPr>
            <m:t>M</m:t>
          </m:r>
          <m:r>
            <m:rPr>
              <m:sty m:val="p"/>
            </m:rPr>
            <m:t>a</m:t>
          </m:r>
          <m:r>
            <m:rPr>
              <m:sty m:val="p"/>
            </m:rPr>
            <m:t>n</m:t>
          </m:r>
          <m:r>
            <m:rPr>
              <m:sty m:val="p"/>
            </m:rPr>
            <m:t>i</m:t>
          </m:r>
          <m:r>
            <m:rPr>
              <m:sty m:val="p"/>
            </m:rPr>
            <m:t>f</m:t>
          </m:r>
          <m:r>
            <m:rPr>
              <m:sty m:val="p"/>
            </m:rPr>
            <m:t>e</m:t>
          </m:r>
          <m:r>
            <m:rPr>
              <m:sty m:val="p"/>
            </m:rPr>
            <m:t>s</m:t>
          </m:r>
          <m:r>
            <m:rPr>
              <m:sty m:val="p"/>
            </m:rPr>
            <m:t>t</m:t>
          </m:r>
          <m:d>
            <m:dPr>
              <m:begChr m:val="("/>
              <m:endChr m:val=")"/>
              <m:sepChr m:val=""/>
              <m:grow/>
            </m:dPr>
            <m:e>
              <m:r>
                <m:t>m</m:t>
              </m:r>
            </m:e>
          </m:d>
          <m:r>
            <m:rPr>
              <m:sty m:val="p"/>
            </m:rPr>
            <m:t>=</m:t>
          </m:r>
          <m:r>
            <m:rPr>
              <m:sty m:val="p"/>
            </m:rPr>
            <m:t>V</m:t>
          </m:r>
          <m:r>
            <m:rPr>
              <m:sty m:val="p"/>
            </m:rPr>
            <m:t>a</m:t>
          </m:r>
          <m:r>
            <m:rPr>
              <m:sty m:val="p"/>
            </m:rPr>
            <m:t>l</m:t>
          </m:r>
          <m:r>
            <m:rPr>
              <m:sty m:val="p"/>
            </m:rPr>
            <m:t>i</m:t>
          </m:r>
          <m:r>
            <m:rPr>
              <m:sty m:val="p"/>
            </m:rPr>
            <m:t>d</m:t>
          </m:r>
          <m:r>
            <m:rPr>
              <m:sty m:val="p"/>
            </m:rPr>
            <m:t>S</m:t>
          </m:r>
          <m:r>
            <m:rPr>
              <m:sty m:val="p"/>
            </m:rPr>
            <m:t>y</m:t>
          </m:r>
          <m:r>
            <m:rPr>
              <m:sty m:val="p"/>
            </m:rPr>
            <m:t>n</m:t>
          </m:r>
          <m:r>
            <m:rPr>
              <m:sty m:val="p"/>
            </m:rPr>
            <m:t>t</m:t>
          </m:r>
          <m:r>
            <m:rPr>
              <m:sty m:val="p"/>
            </m:rPr>
            <m:t>a</m:t>
          </m:r>
          <m:r>
            <m:rPr>
              <m:sty m:val="p"/>
            </m:rPr>
            <m:t>x</m:t>
          </m:r>
          <m:d>
            <m:dPr>
              <m:begChr m:val="("/>
              <m:endChr m:val=")"/>
              <m:sepChr m:val=""/>
              <m:grow/>
            </m:dPr>
            <m:e>
              <m:r>
                <m:t>m</m:t>
              </m:r>
            </m:e>
          </m:d>
          <m:r>
            <m:rPr>
              <m:sty m:val="p"/>
            </m:rPr>
            <m:t>∧</m:t>
          </m:r>
          <m:r>
            <m:rPr>
              <m:sty m:val="p"/>
            </m:rPr>
            <m:t>F</m:t>
          </m:r>
          <m:r>
            <m:rPr>
              <m:sty m:val="p"/>
            </m:rPr>
            <m:t>r</m:t>
          </m:r>
          <m:r>
            <m:rPr>
              <m:sty m:val="p"/>
            </m:rPr>
            <m:t>e</m:t>
          </m:r>
          <m:r>
            <m:rPr>
              <m:sty m:val="p"/>
            </m:rPr>
            <m:t>s</m:t>
          </m:r>
          <m:r>
            <m:rPr>
              <m:sty m:val="p"/>
            </m:rPr>
            <m:t>h</m:t>
          </m:r>
          <m:d>
            <m:dPr>
              <m:begChr m:val="("/>
              <m:endChr m:val=")"/>
              <m:sepChr m:val=""/>
              <m:grow/>
            </m:dPr>
            <m:e>
              <m:r>
                <m:t>m</m:t>
              </m:r>
            </m:e>
          </m:d>
          <m:r>
            <m:rPr>
              <m:sty m:val="p"/>
            </m:rPr>
            <m:t>∧</m:t>
          </m:r>
          <m:r>
            <m:rPr>
              <m:sty m:val="p"/>
            </m:rPr>
            <m:t>S</m:t>
          </m:r>
          <m:r>
            <m:rPr>
              <m:sty m:val="p"/>
            </m:rPr>
            <m:t>i</m:t>
          </m:r>
          <m:r>
            <m:rPr>
              <m:sty m:val="p"/>
            </m:rPr>
            <m:t>g</m:t>
          </m:r>
          <m:r>
            <m:rPr>
              <m:sty m:val="p"/>
            </m:rPr>
            <m:t>n</m:t>
          </m:r>
          <m:r>
            <m:rPr>
              <m:sty m:val="p"/>
            </m:rPr>
            <m:t>a</m:t>
          </m:r>
          <m:r>
            <m:rPr>
              <m:sty m:val="p"/>
            </m:rPr>
            <m:t>t</m:t>
          </m:r>
          <m:r>
            <m:rPr>
              <m:sty m:val="p"/>
            </m:rPr>
            <m:t>u</m:t>
          </m:r>
          <m:r>
            <m:rPr>
              <m:sty m:val="p"/>
            </m:rPr>
            <m:t>r</m:t>
          </m:r>
          <m:r>
            <m:rPr>
              <m:sty m:val="p"/>
            </m:rPr>
            <m:t>e</m:t>
          </m:r>
          <m:r>
            <m:rPr>
              <m:sty m:val="p"/>
            </m:rPr>
            <m:t>s</m:t>
          </m:r>
          <m:r>
            <m:rPr>
              <m:sty m:val="p"/>
            </m:rPr>
            <m:t>V</m:t>
          </m:r>
          <m:r>
            <m:rPr>
              <m:sty m:val="p"/>
            </m:rPr>
            <m:t>a</m:t>
          </m:r>
          <m:r>
            <m:rPr>
              <m:sty m:val="p"/>
            </m:rPr>
            <m:t>l</m:t>
          </m:r>
          <m:r>
            <m:rPr>
              <m:sty m:val="p"/>
            </m:rPr>
            <m:t>i</m:t>
          </m:r>
          <m:r>
            <m:rPr>
              <m:sty m:val="p"/>
            </m:rPr>
            <m:t>d</m:t>
          </m:r>
          <m:d>
            <m:dPr>
              <m:begChr m:val="("/>
              <m:endChr m:val=")"/>
              <m:sepChr m:val=""/>
              <m:grow/>
            </m:dPr>
            <m:e>
              <m:r>
                <m:t>m</m:t>
              </m:r>
            </m:e>
          </m:d>
        </m:oMath>
      </m:oMathPara>
    </w:p>
    <w:p>
      <w:pPr>
        <w:pStyle w:val="FirstParagraph"/>
      </w:pPr>
      <m:oMathPara>
        <m:oMathParaPr>
          <m:jc m:val="center"/>
        </m:oMathParaPr>
        <m:oMath>
          <m:r>
            <m:t>  </m:t>
          </m:r>
          <m:r>
            <m:rPr>
              <m:sty m:val="p"/>
            </m:rPr>
            <m:t>∧</m:t>
          </m:r>
          <m:r>
            <m:rPr>
              <m:sty m:val="p"/>
            </m:rPr>
            <m:t>R</m:t>
          </m:r>
          <m:r>
            <m:rPr>
              <m:sty m:val="p"/>
            </m:rPr>
            <m:t>o</m:t>
          </m:r>
          <m:r>
            <m:rPr>
              <m:sty m:val="p"/>
            </m:rPr>
            <m:t>o</m:t>
          </m:r>
          <m:r>
            <m:rPr>
              <m:sty m:val="p"/>
            </m:rPr>
            <m:t>t</m:t>
          </m:r>
          <m:r>
            <m:rPr>
              <m:sty m:val="p"/>
            </m:rPr>
            <m:t>s</m:t>
          </m:r>
          <m:r>
            <m:rPr>
              <m:sty m:val="p"/>
            </m:rPr>
            <m:t>V</m:t>
          </m:r>
          <m:r>
            <m:rPr>
              <m:sty m:val="p"/>
            </m:rPr>
            <m:t>a</m:t>
          </m:r>
          <m:r>
            <m:rPr>
              <m:sty m:val="p"/>
            </m:rPr>
            <m:t>l</m:t>
          </m:r>
          <m:r>
            <m:rPr>
              <m:sty m:val="p"/>
            </m:rPr>
            <m:t>i</m:t>
          </m:r>
          <m:r>
            <m:rPr>
              <m:sty m:val="p"/>
            </m:rPr>
            <m:t>d</m:t>
          </m:r>
          <m:d>
            <m:dPr>
              <m:begChr m:val="("/>
              <m:endChr m:val=")"/>
              <m:sepChr m:val=""/>
              <m:grow/>
            </m:dPr>
            <m:e>
              <m:r>
                <m:t>m</m:t>
              </m:r>
            </m:e>
          </m:d>
          <m:r>
            <m:rPr>
              <m:sty m:val="p"/>
            </m:rPr>
            <m:t>∧</m:t>
          </m:r>
          <m:r>
            <m:rPr>
              <m:sty m:val="p"/>
            </m:rPr>
            <m:t>C</m:t>
          </m:r>
          <m:r>
            <m:rPr>
              <m:sty m:val="p"/>
            </m:rPr>
            <m:t>o</m:t>
          </m:r>
          <m:r>
            <m:rPr>
              <m:sty m:val="p"/>
            </m:rPr>
            <m:t>r</m:t>
          </m:r>
          <m:r>
            <m:rPr>
              <m:sty m:val="p"/>
            </m:rPr>
            <m:t>r</m:t>
          </m:r>
          <m:r>
            <m:rPr>
              <m:sty m:val="p"/>
            </m:rPr>
            <m:t>o</m:t>
          </m:r>
          <m:r>
            <m:rPr>
              <m:sty m:val="p"/>
            </m:rPr>
            <m:t>b</m:t>
          </m:r>
          <m:r>
            <m:rPr>
              <m:sty m:val="p"/>
            </m:rPr>
            <m:t>o</m:t>
          </m:r>
          <m:r>
            <m:rPr>
              <m:sty m:val="p"/>
            </m:rPr>
            <m:t>r</m:t>
          </m:r>
          <m:r>
            <m:rPr>
              <m:sty m:val="p"/>
            </m:rPr>
            <m:t>a</m:t>
          </m:r>
          <m:r>
            <m:rPr>
              <m:sty m:val="p"/>
            </m:rPr>
            <m:t>t</m:t>
          </m:r>
          <m:r>
            <m:rPr>
              <m:sty m:val="p"/>
            </m:rPr>
            <m:t>e</m:t>
          </m:r>
          <m:r>
            <m:rPr>
              <m:sty m:val="p"/>
            </m:rPr>
            <m:t>d</m:t>
          </m:r>
          <m:d>
            <m:dPr>
              <m:begChr m:val="("/>
              <m:endChr m:val=")"/>
              <m:sepChr m:val=""/>
              <m:grow/>
            </m:dPr>
            <m:e>
              <m:r>
                <m:t>m</m:t>
              </m:r>
            </m:e>
          </m:d>
          <m:r>
            <m:rPr>
              <m:sty m:val="p"/>
            </m:rPr>
            <m:t>∧</m:t>
          </m:r>
          <m:r>
            <m:rPr>
              <m:sty m:val="p"/>
            </m:rPr>
            <m:t>C</m:t>
          </m:r>
          <m:r>
            <m:rPr>
              <m:sty m:val="p"/>
            </m:rPr>
            <m:t>o</m:t>
          </m:r>
          <m:r>
            <m:rPr>
              <m:sty m:val="p"/>
            </m:rPr>
            <m:t>n</m:t>
          </m:r>
          <m:r>
            <m:rPr>
              <m:sty m:val="p"/>
            </m:rPr>
            <m:t>s</m:t>
          </m:r>
          <m:r>
            <m:rPr>
              <m:sty m:val="p"/>
            </m:rPr>
            <m:t>e</m:t>
          </m:r>
          <m:r>
            <m:rPr>
              <m:sty m:val="p"/>
            </m:rPr>
            <m:t>n</m:t>
          </m:r>
          <m:r>
            <m:rPr>
              <m:sty m:val="p"/>
            </m:rPr>
            <m:t>s</m:t>
          </m:r>
          <m:r>
            <m:rPr>
              <m:sty m:val="p"/>
            </m:rPr>
            <m:t>u</m:t>
          </m:r>
          <m:r>
            <m:rPr>
              <m:sty m:val="p"/>
            </m:rPr>
            <m:t>s</m:t>
          </m:r>
          <m:r>
            <m:rPr>
              <m:sty m:val="p"/>
            </m:rPr>
            <m:t>I</m:t>
          </m:r>
          <m:r>
            <m:rPr>
              <m:sty m:val="p"/>
            </m:rPr>
            <m:t>D</m:t>
          </m:r>
          <m:r>
            <m:rPr>
              <m:sty m:val="p"/>
            </m:rPr>
            <m:t>s</m:t>
          </m:r>
          <m:r>
            <m:rPr>
              <m:sty m:val="p"/>
            </m:rPr>
            <m:t>M</m:t>
          </m:r>
          <m:r>
            <m:rPr>
              <m:sty m:val="p"/>
            </m:rPr>
            <m:t>a</m:t>
          </m:r>
          <m:r>
            <m:rPr>
              <m:sty m:val="p"/>
            </m:rPr>
            <m:t>t</m:t>
          </m:r>
          <m:r>
            <m:rPr>
              <m:sty m:val="p"/>
            </m:rPr>
            <m:t>c</m:t>
          </m:r>
          <m:r>
            <m:rPr>
              <m:sty m:val="p"/>
            </m:rPr>
            <m:t>h</m:t>
          </m:r>
          <m:d>
            <m:dPr>
              <m:begChr m:val="("/>
              <m:endChr m:val=")"/>
              <m:sepChr m:val=""/>
              <m:grow/>
            </m:dPr>
            <m:e>
              <m:r>
                <m:t>m</m:t>
              </m:r>
            </m:e>
          </m:d>
          <m:r>
            <m:rPr>
              <m:sty m:val="p"/>
            </m:rPr>
            <m:t>.</m:t>
          </m:r>
        </m:oMath>
      </m:oMathPara>
    </w:p>
    <w:p>
      <w:pPr>
        <w:pStyle w:val="FirstParagraph"/>
      </w:pPr>
      <w:r>
        <w:t xml:space="preserve">The corroboration rule is intentionally multi-source.</w:t>
      </w:r>
      <w:r>
        <w:t xml:space="preserve"> </w:t>
      </w:r>
      <w:r>
        <w:rPr>
          <w:rStyle w:val="VerbatimChar"/>
        </w:rPr>
        <w:t xml:space="preserve">bitfp.org</w:t>
      </w:r>
      <w:r>
        <w:t xml:space="preserve"> </w:t>
      </w:r>
      <w:r>
        <w:t xml:space="preserve">can help an agent find candidate facts, but it cannot make those facts authoritative by itself.</w:t>
      </w:r>
    </w:p>
    <w:p>
      <w:pPr>
        <w:pStyle w:val="BodyText"/>
      </w:pPr>
      <w:r>
        <w:t xml:space="preserve">The intended flow is</w:t>
      </w:r>
    </w:p>
    <w:p>
      <w:pPr>
        <w:pStyle w:val="SourceCode"/>
      </w:pPr>
      <w:r>
        <w:rPr>
          <w:rStyle w:val="VerbatimChar"/>
        </w:rPr>
        <w:t xml:space="preserve">discover candidate sources</w:t>
      </w:r>
      <w:r>
        <w:br/>
      </w:r>
      <w:r>
        <w:rPr>
          <w:rStyle w:val="VerbatimChar"/>
        </w:rPr>
        <w:t xml:space="preserve">  -&gt; corroborate independent origins</w:t>
      </w:r>
      <w:r>
        <w:br/>
      </w:r>
      <w:r>
        <w:rPr>
          <w:rStyle w:val="VerbatimChar"/>
        </w:rPr>
        <w:t xml:space="preserve">  -&gt; verify signatures / release roots</w:t>
      </w:r>
      <w:r>
        <w:br/>
      </w:r>
      <w:r>
        <w:rPr>
          <w:rStyle w:val="VerbatimChar"/>
        </w:rPr>
        <w:t xml:space="preserve">  -&gt; verify network + genesis identity</w:t>
      </w:r>
      <w:r>
        <w:br/>
      </w:r>
      <w:r>
        <w:rPr>
          <w:rStyle w:val="VerbatimChar"/>
        </w:rPr>
        <w:t xml:space="preserve">  -&gt; verify PARAM-01 / PARAM-02 / PARAM-03</w:t>
      </w:r>
      <w:r>
        <w:br/>
      </w:r>
      <w:r>
        <w:rPr>
          <w:rStyle w:val="VerbatimChar"/>
        </w:rPr>
        <w:t xml:space="preserve">  -&gt; verify relation + compiler identity</w:t>
      </w:r>
      <w:r>
        <w:br/>
      </w:r>
      <w:r>
        <w:rPr>
          <w:rStyle w:val="VerbatimChar"/>
        </w:rPr>
        <w:t xml:space="preserve">  -&gt; discover peers</w:t>
      </w:r>
      <w:r>
        <w:br/>
      </w:r>
      <w:r>
        <w:rPr>
          <w:rStyle w:val="VerbatimChar"/>
        </w:rPr>
        <w:t xml:space="preserve">  -&gt; negotiate capabilities</w:t>
      </w:r>
      <w:r>
        <w:br/>
      </w:r>
      <w:r>
        <w:rPr>
          <w:rStyle w:val="VerbatimChar"/>
        </w:rPr>
        <w:t xml:space="preserve">  -&gt; choose node role</w:t>
      </w:r>
      <w:r>
        <w:br/>
      </w:r>
      <w:r>
        <w:rPr>
          <w:rStyle w:val="VerbatimChar"/>
        </w:rPr>
        <w:t xml:space="preserve">  -&gt; sync</w:t>
      </w:r>
      <w:r>
        <w:br/>
      </w:r>
      <w:r>
        <w:rPr>
          <w:rStyle w:val="VerbatimChar"/>
        </w:rPr>
        <w:t xml:space="preserve">  -&gt; independently verify blocks</w:t>
      </w:r>
    </w:p>
    <w:p>
      <w:pPr>
        <w:pStyle w:val="FirstParagraph"/>
      </w:pPr>
      <w:r>
        <w:t xml:space="preserve">The canonical public discovery entry is</w:t>
      </w:r>
    </w:p>
    <w:p>
      <w:pPr>
        <w:pStyle w:val="SourceCode"/>
      </w:pPr>
      <w:r>
        <w:rPr>
          <w:rStyle w:val="VerbatimChar"/>
        </w:rPr>
        <w:t xml:space="preserve">GET https://bitfp.org/.well-known/bitfp.json</w:t>
      </w:r>
    </w:p>
    <w:p>
      <w:pPr>
        <w:pStyle w:val="FirstParagraph"/>
      </w:pPr>
      <w:r>
        <w:t xml:space="preserve">and the endpoint explicitly states that the site is not a root of trust.</w:t>
      </w:r>
    </w:p>
    <w:p>
      <w:pPr>
        <w:pStyle w:val="BodyText"/>
      </w:pPr>
      <w:r>
        <w:drawing>
          <wp:inline>
            <wp:extent cx="5334000" cy="2667000"/>
            <wp:effectExtent b="0" l="0" r="0" t="0"/>
            <wp:docPr descr="" title="" id="69" name="Picture"/>
            <a:graphic>
              <a:graphicData uri="http://schemas.openxmlformats.org/drawingml/2006/picture">
                <pic:pic>
                  <pic:nvPicPr>
                    <pic:cNvPr descr="figures/agent_discovery.png" id="70" name="Picture"/>
                    <pic:cNvPicPr>
                      <a:picLocks noChangeArrowheads="1" noChangeAspect="1"/>
                    </pic:cNvPicPr>
                  </pic:nvPicPr>
                  <pic:blipFill>
                    <a:blip r:embed="rId68"/>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rPr>
          <w:b/>
          <w:bCs/>
        </w:rPr>
        <w:t xml:space="preserve">Figure 4.</w:t>
      </w:r>
      <w:r>
        <w:t xml:space="preserve"> </w:t>
      </w:r>
      <w:r>
        <w:t xml:space="preserve">Discovery is a verification graph. Website discovery is only one input to the graph.</w:t>
      </w:r>
    </w:p>
    <w:bookmarkEnd w:id="71"/>
    <w:bookmarkStart w:id="72" w:name="Xfaed7dab1ec45d52d5149d8a8b247994a8685c4"/>
    <w:p>
      <w:pPr>
        <w:pStyle w:val="Heading2"/>
      </w:pPr>
      <w:r>
        <w:t xml:space="preserve">13. Implementation Status and Explicit Non-Claims</w:t>
      </w:r>
    </w:p>
    <w:p>
      <w:pPr>
        <w:pStyle w:val="FirstParagraph"/>
      </w:pPr>
      <w:r>
        <w:t xml:space="preserve">At publication:</w:t>
      </w:r>
    </w:p>
    <w:p>
      <w:pPr>
        <w:pStyle w:val="Compact"/>
        <w:numPr>
          <w:ilvl w:val="0"/>
          <w:numId w:val="1009"/>
        </w:numPr>
      </w:pPr>
      <w:r>
        <w:t xml:space="preserve">M6/G6: PASS - PARAM-01 and PARAM-02 frozen;</w:t>
      </w:r>
    </w:p>
    <w:p>
      <w:pPr>
        <w:pStyle w:val="Compact"/>
        <w:numPr>
          <w:ilvl w:val="0"/>
          <w:numId w:val="1009"/>
        </w:numPr>
      </w:pPr>
      <w:r>
        <w:t xml:space="preserve">M7/G7: PASS - final source-exact C1 relation frozen;</w:t>
      </w:r>
    </w:p>
    <w:p>
      <w:pPr>
        <w:pStyle w:val="Compact"/>
        <w:numPr>
          <w:ilvl w:val="0"/>
          <w:numId w:val="1009"/>
        </w:numPr>
      </w:pPr>
      <w:r>
        <w:t xml:space="preserve">M8/G8: PASS - fixed-Keccak/QROM/PQ128 closure and PARAM-03 frozen;</w:t>
      </w:r>
    </w:p>
    <w:p>
      <w:pPr>
        <w:pStyle w:val="Compact"/>
        <w:numPr>
          <w:ilvl w:val="0"/>
          <w:numId w:val="1009"/>
        </w:numPr>
      </w:pPr>
      <w:r>
        <w:t xml:space="preserve">M9/G9: PASS - production 4M six-lane package and Receipt/BlockCandidate passed;</w:t>
      </w:r>
    </w:p>
    <w:p>
      <w:pPr>
        <w:pStyle w:val="Compact"/>
        <w:numPr>
          <w:ilvl w:val="0"/>
          <w:numId w:val="1009"/>
        </w:numPr>
      </w:pPr>
      <w:r>
        <w:t xml:space="preserve">Huawei Mate Xs mobile PoW: PASS;</w:t>
      </w:r>
    </w:p>
    <w:p>
      <w:pPr>
        <w:pStyle w:val="Compact"/>
        <w:numPr>
          <w:ilvl w:val="0"/>
          <w:numId w:val="1009"/>
        </w:numPr>
      </w:pPr>
      <w:r>
        <w:t xml:space="preserve">Agent Discovery v1 architecture: READY;</w:t>
      </w:r>
    </w:p>
    <w:p>
      <w:pPr>
        <w:pStyle w:val="Compact"/>
        <w:numPr>
          <w:ilvl w:val="0"/>
          <w:numId w:val="1009"/>
        </w:numPr>
      </w:pPr>
      <w:r>
        <w:t xml:space="preserve">commodity full-node scaling: IN PROGRESS / PRE-M10 gate;</w:t>
      </w:r>
    </w:p>
    <w:p>
      <w:pPr>
        <w:pStyle w:val="BodyText"/>
      </w:pPr>
      <w:r>
        <w:t>• BitFP Sybil Resistance Audit v0.1: PLANNED / NOT_STARTED;</w:t>
      </w:r>
    </w:p>
    <w:p>
      <w:pPr>
        <w:pStyle w:val="BodyText"/>
      </w:pPr>
      <w:r>
        <w:t>• Optional Post-Quantum Privacy Architecture Review v0.1: PLANNED / NOT_STARTED / NOT_IMPLEMENTED / NOT_CONSENSUS_FROZEN;</w:t>
      </w:r>
    </w:p>
    <w:p>
      <w:pPr>
        <w:pStyle w:val="Compact"/>
        <w:numPr>
          <w:ilvl w:val="0"/>
          <w:numId w:val="1009"/>
        </w:numPr>
      </w:pPr>
      <w:r>
        <w:t xml:space="preserve">M10 integrated testnet: NOT STARTED;</w:t>
      </w:r>
    </w:p>
    <w:p>
      <w:pPr>
        <w:pStyle w:val="Compact"/>
        <w:numPr>
          <w:ilvl w:val="0"/>
          <w:numId w:val="1009"/>
        </w:numPr>
      </w:pPr>
      <w:r>
        <w:t xml:space="preserve">mainnet: NOT LIVE.</w:t>
      </w:r>
    </w:p>
    <w:p>
      <w:pPr>
        <w:pStyle w:val="FirstParagraph"/>
      </w:pPr>
      <w:r>
        <w:t xml:space="preserve">BitFP does not currently claim:</w:t>
      </w:r>
    </w:p>
    <w:p>
      <w:pPr>
        <w:pStyle w:val="Compact"/>
        <w:numPr>
          <w:ilvl w:val="0"/>
          <w:numId w:val="1010"/>
        </w:numPr>
      </w:pPr>
      <w:r>
        <w:t xml:space="preserve">that specialized hardware can never outperform commodity hardware;</w:t>
      </w:r>
    </w:p>
    <w:p>
      <w:pPr>
        <w:pStyle w:val="Compact"/>
        <w:numPr>
          <w:ilvl w:val="0"/>
          <w:numId w:val="1010"/>
        </w:numPr>
      </w:pPr>
      <w:r>
        <w:t xml:space="preserve">that Keccak is proven to be a random oracle;</w:t>
      </w:r>
    </w:p>
    <w:p>
      <w:pPr>
        <w:pStyle w:val="Compact"/>
        <w:numPr>
          <w:ilvl w:val="0"/>
          <w:numId w:val="1010"/>
        </w:numPr>
      </w:pPr>
      <w:r>
        <w:t xml:space="preserve">that the entire system has unconditional quantum safety;</w:t>
      </w:r>
    </w:p>
    <w:p>
      <w:pPr>
        <w:pStyle w:val="Compact"/>
        <w:numPr>
          <w:ilvl w:val="0"/>
          <w:numId w:val="1010"/>
        </w:numPr>
      </w:pPr>
      <w:r>
        <w:t xml:space="preserve">that mobile mining is economically competitive;</w:t>
      </w:r>
    </w:p>
    <w:p>
      <w:pPr>
        <w:pStyle w:val="Compact"/>
        <w:numPr>
          <w:ilvl w:val="0"/>
          <w:numId w:val="1010"/>
        </w:numPr>
      </w:pPr>
      <w:r>
        <w:t xml:space="preserve">that production-independent bootstrap is complete;</w:t>
      </w:r>
    </w:p>
    <w:p>
      <w:pPr>
        <w:pStyle w:val="Compact"/>
        <w:numPr>
          <w:ilvl w:val="0"/>
          <w:numId w:val="1010"/>
        </w:numPr>
      </w:pPr>
      <w:r>
        <w:t xml:space="preserve">that commodity full validation is complete before the PRE-M10 service-time gate passes.</w:t>
      </w:r>
    </w:p>
    <w:bookmarkEnd w:id="72"/>
    <w:bookmarkStart w:id="73" w:name="conclusion"/>
    <w:p>
      <w:pPr>
        <w:pStyle w:val="BodyText"/>
      </w:pPr>
      <w:r>
        <w:t>• that a formal multi-layer Sybil audit has passed;</w:t>
      </w:r>
    </w:p>
    <w:p>
      <w:pPr>
        <w:pStyle w:val="BodyText"/>
      </w:pPr>
      <w:r>
        <w:t>• that BitFP is proven Sybil-proof; or</w:t>
      </w:r>
    </w:p>
    <w:p>
      <w:pPr>
        <w:pStyle w:val="BodyText"/>
      </w:pPr>
      <w:r>
        <w:t>• that shielded, hidden-value, hidden-sender, hidden-recipient, or finalized post-quantum privacy functionality currently exists.</w:t>
      </w:r>
    </w:p>
    <w:p>
      <w:pPr>
        <w:pStyle w:val="Heading2"/>
      </w:pPr>
      <w:r>
        <w:t xml:space="preserve">14. Conclusion</w:t>
      </w:r>
    </w:p>
    <w:p>
      <w:pPr>
        <w:pStyle w:val="FirstParagraph"/>
      </w:pPr>
      <w:r>
        <w:t xml:space="preserve">BitFP follows the same basic chain of reasoning that made the Bitcoin whitepaper durable: define ownership, define time ordering, define work, define network behavior, define incentives, and quantify the relevant attack probabilities. It keeps Bitcoin’s core insight - proof instead of institutional trust - but is built to solve three additional problems.</w:t>
      </w:r>
    </w:p>
    <w:p>
      <w:pPr>
        <w:pStyle w:val="BodyText"/>
      </w:pPr>
      <w:r>
        <w:t xml:space="preserve">First, mining should not become structurally inaccessible to an ordinary computer. BitFP therefore combines a source-exact data-dependent workload, private per-worker memory, serial dependency, epoch rotation, and protocol-native partial-work receipts. The design does not promise equal hardware efficiency or prove ASIC impossibility; it preserves a direct path by which any machine capable of valid work can participate without being forced into a pool solely for payout recognition.</w:t>
      </w:r>
    </w:p>
    <w:p>
      <w:pPr>
        <w:pStyle w:val="BodyText"/>
      </w:pPr>
      <w:r>
        <w:t xml:space="preserve">Second, a new chain should be designed for post-quantum threats from the beginning. Ownership uses ML-DSA-44. The C1 proof system separately freezes a fixed-Keccak/QROM security profile whose composed screen is 146.521 bits under stated assumptions. These two layers are deliberately not conflated.</w:t>
      </w:r>
    </w:p>
    <w:p>
      <w:pPr>
        <w:pStyle w:val="BodyText"/>
      </w:pPr>
      <w:r>
        <w:t xml:space="preserve">Third, autonomous agents should be able to discover and verify the network on their own. BitFP makes consensus identities, manifests, node capabilities, release roots, and evidence machine-readable, while refusing to make</w:t>
      </w:r>
      <w:r>
        <w:t xml:space="preserve"> </w:t>
      </w:r>
      <w:r>
        <w:rPr>
          <w:rStyle w:val="VerbatimChar"/>
        </w:rPr>
        <w:t xml:space="preserve">bitfp.org</w:t>
      </w:r>
      <w:r>
        <w:t xml:space="preserve"> </w:t>
      </w:r>
      <w:r>
        <w:t xml:space="preserve">or any other single origin a root of trust.</w:t>
      </w:r>
    </w:p>
    <w:p>
      <w:pPr>
        <w:pStyle w:val="BodyText"/>
      </w:pPr>
      <w:r>
        <w:t xml:space="preserve">The economic model supports the same long-run objective. The 21M figure is a reference scale, not a terminal hard cap, and BitFP does not impose a later 24M hard ceiling. A nominal 52,500 BFP/year tail keeps a predictable issuance component in the security budget while its percentage expansion tends toward zero as supply grows. This is a deliberate trade: modest perpetual nominal issuance is preferred to forcing future security to depend entirely on transaction-fee demand.</w:t>
      </w:r>
    </w:p>
    <w:p>
      <w:pPr>
        <w:pStyle w:val="BodyText"/>
      </w:pPr>
      <w:r>
        <w:t xml:space="preserve">Technically, the work function is not a single nonce hash. It is a frozen source-exact data-dependent computation with private worker state and a serial tail. The block and receipt thresholds remain ordinary 512-bit target tests, making their probabilities explicit. The expensive work is not repeated by validators; it is expressed as a relation</w:t>
      </w:r>
      <w:r>
        <w:t xml:space="preserve"> </w:t>
      </w:r>
      <m:oMath>
        <m:sSub>
          <m:e>
            <m:r>
              <m:rPr>
                <m:sty m:val="p"/>
                <m:scr m:val="script"/>
              </m:rPr>
              <m:t>R</m:t>
            </m:r>
          </m:e>
          <m:sub>
            <m:r>
              <m:rPr>
                <m:sty m:val="p"/>
              </m:rPr>
              <m:t>B</m:t>
            </m:r>
            <m:r>
              <m:rPr>
                <m:sty m:val="p"/>
              </m:rPr>
              <m:t>i</m:t>
            </m:r>
            <m:r>
              <m:rPr>
                <m:sty m:val="p"/>
              </m:rPr>
              <m:t>t</m:t>
            </m:r>
            <m:r>
              <m:rPr>
                <m:sty m:val="p"/>
              </m:rPr>
              <m:t>F</m:t>
            </m:r>
            <m:r>
              <m:rPr>
                <m:sty m:val="p"/>
              </m:rPr>
              <m:t>P</m:t>
            </m:r>
          </m:sub>
        </m:sSub>
        <m:d>
          <m:dPr>
            <m:begChr m:val="("/>
            <m:endChr m:val=")"/>
            <m:sepChr m:val=""/>
            <m:grow/>
          </m:dPr>
          <m:e>
            <m:r>
              <m:t>x</m:t>
            </m:r>
            <m:r>
              <m:rPr>
                <m:sty m:val="p"/>
              </m:rPr>
              <m:t>,</m:t>
            </m:r>
            <m:r>
              <m:t>w</m:t>
            </m:r>
          </m:e>
        </m:d>
      </m:oMath>
      <w:r>
        <w:t xml:space="preserve"> </w:t>
      </w:r>
      <w:r>
        <w:t xml:space="preserve">and proven by six coupled lanes. LogUp authenticates the source-exact dataset reads, and PCS cross-openings bind those values to the transition that consumed them. Receipt maturity is derived with the Bitcoin-style Poisson catch-up calculation.</w:t>
      </w:r>
    </w:p>
    <w:p>
      <w:pPr>
        <w:pStyle w:val="BodyText"/>
      </w:pPr>
      <w:r>
        <w:t xml:space="preserve">The remaining PRE-M10 challenge is practical rather than conceptual: the native full-node six-lane verifier must obtain meaningful service-time headroom on commodity hardware. BitFP will not call that gate complete until the measured evidence passes.</w:t>
      </w:r>
    </w:p>
    <w:bookmarkEnd w:id="73"/>
    <w:bookmarkStart w:id="74" w:name="references"/>
    <w:p>
      <w:pPr>
        <w:pStyle w:val="BodyText"/>
      </w:pPr>
      <w:r>
        <w:t>The pre-M10 roadmap now places two human-reviewed research gates after physical commodity-machine closure and external evidence: the formal Sybil Resistance Audit and the Optional Post-Quantum Privacy Architecture Review. Recording these reviews does not add privacy functionality, freeze privacy semantics, or reopen the frozen M6/M7/M8 protocol. It makes the unresolved questions visible before any M10 authorization decision.</w:t>
      </w:r>
    </w:p>
    <w:p>
      <w:pPr>
        <w:pStyle w:val="Heading2"/>
      </w:pPr>
      <w:r>
        <w:t xml:space="preserve">References</w:t>
      </w:r>
    </w:p>
    <w:p>
      <w:pPr>
        <w:pStyle w:val="FirstParagraph"/>
      </w:pPr>
      <w:r>
        <w:t xml:space="preserve">[1] S. Nakamoto,</w:t>
      </w:r>
      <w:r>
        <w:t xml:space="preserve"> </w:t>
      </w:r>
      <w:r>
        <w:rPr>
          <w:i/>
          <w:iCs/>
        </w:rPr>
        <w:t xml:space="preserve">Bitcoin: A Peer-to-Peer Electronic Cash System</w:t>
      </w:r>
      <w:r>
        <w:t xml:space="preserve">, 2008. https://bitcoin.org/bitcoin.pdf</w:t>
      </w:r>
    </w:p>
    <w:p>
      <w:pPr>
        <w:pStyle w:val="BodyText"/>
      </w:pPr>
      <w:r>
        <w:t xml:space="preserve">[2] National Institute of Standards and Technology,</w:t>
      </w:r>
      <w:r>
        <w:t xml:space="preserve"> </w:t>
      </w:r>
      <w:r>
        <w:rPr>
          <w:i/>
          <w:iCs/>
        </w:rPr>
        <w:t xml:space="preserve">FIPS 202: SHA-3 Standard: Permutation-Based Hash and Extendable-Output Functions</w:t>
      </w:r>
      <w:r>
        <w:t xml:space="preserve">, 2015. https://doi.org/10.6028/NIST.FIPS.202</w:t>
      </w:r>
    </w:p>
    <w:p>
      <w:pPr>
        <w:pStyle w:val="BodyText"/>
      </w:pPr>
      <w:r>
        <w:t xml:space="preserve">[3] National Institute of Standards and Technology,</w:t>
      </w:r>
      <w:r>
        <w:t xml:space="preserve"> </w:t>
      </w:r>
      <w:r>
        <w:rPr>
          <w:i/>
          <w:iCs/>
        </w:rPr>
        <w:t xml:space="preserve">FIPS 204: Module-Lattice-Based Digital Signature Standard</w:t>
      </w:r>
      <w:r>
        <w:t xml:space="preserve">, 2024. https://doi.org/10.6028/NIST.FIPS.204</w:t>
      </w:r>
    </w:p>
    <w:p>
      <w:pPr>
        <w:pStyle w:val="BodyText"/>
      </w:pPr>
      <w:r>
        <w:t xml:space="preserve">[4] A. Chiesa, P. Manohar, N. Spooner,</w:t>
      </w:r>
      <w:r>
        <w:t xml:space="preserve"> </w:t>
      </w:r>
      <w:r>
        <w:rPr>
          <w:i/>
          <w:iCs/>
        </w:rPr>
        <w:t xml:space="preserve">Succinct Arguments in the Quantum Random Oracle Model</w:t>
      </w:r>
      <w:r>
        <w:t xml:space="preserve">, TCC 2019 / Cryptology ePrint 2019/834.</w:t>
      </w:r>
    </w:p>
    <w:p>
      <w:pPr>
        <w:pStyle w:val="BodyText"/>
      </w:pPr>
      <w:r>
        <w:t xml:space="preserve">[5] G. Arnon, A. Chiesa, G. Fenzi, E. Yogev,</w:t>
      </w:r>
      <w:r>
        <w:t xml:space="preserve"> </w:t>
      </w:r>
      <w:r>
        <w:rPr>
          <w:i/>
          <w:iCs/>
        </w:rPr>
        <w:t xml:space="preserve">WHIR: Reed-Solomon Proximity Testing with Super-Fast Verification</w:t>
      </w:r>
      <w:r>
        <w:t xml:space="preserve">, Cryptology ePrint 2024/1586.</w:t>
      </w:r>
    </w:p>
    <w:p>
      <w:pPr>
        <w:pStyle w:val="BodyText"/>
      </w:pPr>
      <w:r>
        <w:t xml:space="preserve">[6] U. Haboeck,</w:t>
      </w:r>
      <w:r>
        <w:t xml:space="preserve"> </w:t>
      </w:r>
      <w:r>
        <w:rPr>
          <w:i/>
          <w:iCs/>
        </w:rPr>
        <w:t xml:space="preserve">Multivariate Lookups Based on Logarithmic Derivatives</w:t>
      </w:r>
      <w:r>
        <w:t xml:space="preserve">, Cryptology ePrint 2022/1530.</w:t>
      </w:r>
    </w:p>
    <w:p>
      <w:pPr>
        <w:pStyle w:val="BodyText"/>
      </w:pPr>
      <w:r>
        <w:t xml:space="preserve">[7] BitFP Project,</w:t>
      </w:r>
      <w:r>
        <w:t xml:space="preserve"> </w:t>
      </w:r>
      <w:r>
        <w:rPr>
          <w:i/>
          <w:iCs/>
        </w:rPr>
        <w:t xml:space="preserve">BitFP M6 Consensus Parameter Specification v1</w:t>
      </w:r>
      <w:r>
        <w:t xml:space="preserve"> </w:t>
      </w:r>
      <w:r>
        <w:t xml:space="preserve">and M6.2 freeze audit.</w:t>
      </w:r>
    </w:p>
    <w:p>
      <w:pPr>
        <w:pStyle w:val="BodyText"/>
      </w:pPr>
      <w:r>
        <w:t xml:space="preserve">[8] BitFP Project,</w:t>
      </w:r>
      <w:r>
        <w:t xml:space="preserve"> </w:t>
      </w:r>
      <w:r>
        <w:rPr>
          <w:i/>
          <w:iCs/>
        </w:rPr>
        <w:t xml:space="preserve">BitFP M7 Final C1 Relation v1</w:t>
      </w:r>
      <w:r>
        <w:t xml:space="preserve"> </w:t>
      </w:r>
      <w:r>
        <w:t xml:space="preserve">and G7 source-exact dataset-authentication evidence.</w:t>
      </w:r>
    </w:p>
    <w:p>
      <w:pPr>
        <w:pStyle w:val="BodyText"/>
      </w:pPr>
      <w:r>
        <w:t xml:space="preserve">[9] BitFP Project,</w:t>
      </w:r>
      <w:r>
        <w:t xml:space="preserve"> </w:t>
      </w:r>
      <w:r>
        <w:rPr>
          <w:i/>
          <w:iCs/>
        </w:rPr>
        <w:t xml:space="preserve">BitFP M8 Fixed-Keccak / QROM Security v1</w:t>
      </w:r>
      <w:r>
        <w:t xml:space="preserve">, PARAM-03 specification, and G8 security-closure audit.</w:t>
      </w:r>
    </w:p>
    <w:p>
      <w:pPr>
        <w:pStyle w:val="BodyText"/>
      </w:pPr>
      <w:r>
        <w:t xml:space="preserve">[10] BitFP Project,</w:t>
      </w:r>
      <w:r>
        <w:t xml:space="preserve"> </w:t>
      </w:r>
      <w:r>
        <w:rPr>
          <w:i/>
          <w:iCs/>
        </w:rPr>
        <w:t xml:space="preserve">M9 G9 Production 4M Closure Audit</w:t>
      </w:r>
      <w:r>
        <w:t xml:space="preserve">.</w:t>
      </w:r>
    </w:p>
    <w:p>
      <w:pPr>
        <w:pStyle w:val="BodyText"/>
      </w:pPr>
      <w:r>
        <w:t xml:space="preserve">[11] BitFP Project,</w:t>
      </w:r>
      <w:r>
        <w:t xml:space="preserve"> </w:t>
      </w:r>
      <w:r>
        <w:rPr>
          <w:i/>
          <w:iCs/>
        </w:rPr>
        <w:t xml:space="preserve">BitFP Agent Discovery v1</w:t>
      </w:r>
      <w:r>
        <w:t xml:space="preserve"> </w:t>
      </w:r>
      <w:r>
        <w:t xml:space="preserve">and PRE-M10 readiness audits.</w:t>
      </w:r>
    </w:p>
    <w:p>
      <w:r>
        <w:pict>
          <v:rect style="width:0;height:1.5pt" o:hralign="center" o:hrstd="t" o:hr="t"/>
        </w:pict>
      </w:r>
    </w:p>
    <w:p>
      <w:pPr>
        <w:pStyle w:val="FirstParagraph"/>
      </w:pPr>
      <w:r>
        <w:rPr>
          <w:b/>
          <w:bCs/>
        </w:rPr>
        <w:t xml:space="preserve">Document status:</w:t>
      </w:r>
      <w:r>
        <w:t xml:space="preserve"> </w:t>
      </w:r>
      <w:r>
        <w:t>Pre-Testnet Draft v0.5.</w:t>
      </w:r>
      <w:r>
        <w:br/>
      </w:r>
      <w:r>
        <w:rPr>
          <w:b/>
          <w:bCs/>
        </w:rPr>
        <w:t xml:space="preserve">Canonical public discovery surface:</w:t>
      </w:r>
      <w:r>
        <w:t xml:space="preserve"> </w:t>
      </w:r>
      <w:r>
        <w:t xml:space="preserve">https://bitfp.org/</w:t>
      </w:r>
      <w:r>
        <w:br/>
      </w:r>
      <w:r>
        <w:rPr>
          <w:b/>
          <w:bCs/>
        </w:rPr>
        <w:t xml:space="preserve">Mainnet:</w:t>
      </w:r>
      <w:r>
        <w:t xml:space="preserve"> </w:t>
      </w:r>
      <w:r>
        <w:t xml:space="preserve">not live.</w:t>
      </w:r>
      <w:r>
        <w:br/>
      </w:r>
      <w:r>
        <w:rPr>
          <w:b/>
          <w:bCs/>
        </w:rPr>
        <w:t xml:space="preserve">Public testnet:</w:t>
      </w:r>
      <w:r>
        <w:t xml:space="preserve"> </w:t>
      </w:r>
      <w:r>
        <w:t xml:space="preserve">not live at publication of this draft.</w:t>
      </w:r>
    </w:p>
    <w:bookmarkEnd w:id="74"/>
    <w:bookmarkEnd w:id="75"/>
    <w:sectPr>
      <w:footerReference w:type="default" r:id="rId9"/>
      <w:pgMar w:top="1037" w:bottom="1037" w:left="1181" w:right="118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Liberation Sans" w:hAnsi="Liberation Sans"/>
        <w:color w:val="646464"/>
        <w:sz w:val="16"/>
      </w:rPr>
      <w:t xml:space="preserve">BitFP Whitepaper v0.5  |  </w:t>
    </w:r>
    <w:fldSimple w:instr="PAG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Liberation Serif" w:hAnsi="Liberation Serif" w:eastAsia="Liberation Serif"/>
    </w:rPr>
  </w:style>
  <w:style w:styleId="BodyText" w:type="paragraph">
    <w:name w:val="Body Text"/>
    <w:basedOn w:val="Normal"/>
    <w:link w:val="BodyTextChar"/>
    <w:qFormat/>
    <w:pPr>
      <w:spacing w:after="180" w:before="180"/>
    </w:pPr>
    <w:rPr>
      <w:rFonts w:ascii="Liberation Serif" w:hAnsi="Liberation Serif" w:eastAsia="Liberation Serif"/>
    </w:rPr>
  </w:style>
  <w:style w:customStyle="1" w:styleId="FirstParagraph" w:type="paragraph">
    <w:name w:val="First Paragraph"/>
    <w:basedOn w:val="BodyText"/>
    <w:next w:val="BodyText"/>
    <w:qFormat/>
    <w:rPr>
      <w:rFonts w:ascii="Liberation Serif" w:hAnsi="Liberation Serif" w:eastAsia="Liberation Serif"/>
    </w:rPr>
  </w:style>
  <w:style w:customStyle="1" w:styleId="Compact" w:type="paragraph">
    <w:name w:val="Compact"/>
    <w:basedOn w:val="BodyText"/>
    <w:qFormat/>
    <w:pPr>
      <w:spacing w:after="36" w:before="36"/>
    </w:pPr>
    <w:rPr>
      <w:rFonts w:ascii="Liberation Serif" w:hAnsi="Liberation Serif" w:eastAsia="Liberation Serif"/>
    </w:r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ascii="Liberation Serif" w:hAnsi="Liberation Serif" w:eastAsia="Liberation Serif"/>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rFonts w:ascii="Liberation Serif" w:hAnsi="Liberation Serif" w:eastAsia="Liberation Serif"/>
      <w:sz w:val="30"/>
      <w:szCs w:val="30"/>
    </w:rPr>
  </w:style>
  <w:style w:customStyle="1" w:styleId="Author" w:type="paragraph">
    <w:name w:val="Author"/>
    <w:next w:val="BodyText"/>
    <w:qFormat/>
    <w:pPr>
      <w:keepNext/>
      <w:keepLines/>
      <w:jc w:val="center"/>
    </w:pPr>
    <w:rPr>
      <w:rFonts w:ascii="Liberation Serif" w:hAnsi="Liberation Serif" w:eastAsia="Liberation Serif"/>
    </w:rPr>
  </w:style>
  <w:style w:styleId="Date" w:type="paragraph">
    <w:name w:val="Date"/>
    <w:next w:val="BodyText"/>
    <w:qFormat/>
    <w:pPr>
      <w:keepNext/>
      <w:keepLines/>
      <w:jc w:val="center"/>
    </w:pPr>
    <w:rPr>
      <w:rFonts w:ascii="Liberation Serif" w:hAnsi="Liberation Serif" w:eastAsia="Liberation Serif"/>
    </w:rPr>
  </w:style>
  <w:style w:customStyle="1" w:styleId="AbstractTitle" w:type="paragraph">
    <w:name w:val="Abstract Title"/>
    <w:basedOn w:val="Normal"/>
    <w:next w:val="Abstract"/>
    <w:qFormat/>
    <w:pPr>
      <w:keepNext/>
      <w:keepLines/>
      <w:spacing w:after="0" w:before="300"/>
      <w:jc w:val="center"/>
    </w:pPr>
    <w:rPr>
      <w:rFonts w:ascii="Liberation Serif" w:hAnsi="Liberation Serif" w:eastAsia="Liberation Serif"/>
      <w:b/>
      <w:color w:val="345A8A"/>
      <w:sz w:val="20"/>
      <w:szCs w:val="20"/>
    </w:rPr>
  </w:style>
  <w:style w:customStyle="1" w:styleId="Abstract" w:type="paragraph">
    <w:name w:val="Abstract"/>
    <w:basedOn w:val="Normal"/>
    <w:next w:val="BodyText"/>
    <w:qFormat/>
    <w:pPr>
      <w:keepNext/>
      <w:keepLines/>
      <w:spacing w:after="300" w:before="100"/>
    </w:pPr>
    <w:rPr>
      <w:rFonts w:ascii="Liberation Serif" w:hAnsi="Liberation Serif" w:eastAsia="Liberation Serif"/>
      <w:sz w:val="20"/>
      <w:szCs w:val="20"/>
    </w:rPr>
  </w:style>
  <w:style w:styleId="Bibliography" w:type="paragraph">
    <w:name w:val="Bibliography"/>
    <w:basedOn w:val="Normal"/>
    <w:next w:val="Bibliography"/>
    <w:qFormat/>
    <w:pPr/>
    <w:rPr>
      <w:rFonts w:ascii="Liberation Serif" w:hAnsi="Liberation Serif" w:eastAsia="Liberation Serif"/>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ascii="Liberation Serif" w:hAnsi="Liberation Serif" w:eastAsia="Liberation Serif"/>
      <w:b/>
      <w:bCs/>
      <w:color w:val="000000"/>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ascii="Liberation Serif" w:hAnsi="Liberation Serif" w:eastAsia="Liberation Serif"/>
      <w:b/>
      <w:bCs/>
      <w:color w:val="000000"/>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ascii="Liberation Serif" w:hAnsi="Liberation Serif" w:eastAsia="Liberation Serif"/>
      <w:b/>
      <w:bCs/>
      <w:color w:val="000000"/>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ascii="Liberation Serif" w:hAnsi="Liberation Serif" w:eastAsia="Liberation Serif"/>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ascii="Liberation Serif" w:hAnsi="Liberation Serif" w:eastAsia="Liberation Serif"/>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ascii="Liberation Serif" w:hAnsi="Liberation Serif" w:eastAsia="Liberation Serif"/>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ascii="Liberation Serif" w:hAnsi="Liberation Serif" w:eastAsia="Liberation Serif"/>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ascii="Liberation Serif" w:hAnsi="Liberation Serif" w:eastAsia="Liberation Serif"/>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ascii="Liberation Serif" w:hAnsi="Liberation Serif" w:eastAsia="Liberation Serif"/>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rPr>
      <w:rFonts w:ascii="Liberation Serif" w:hAnsi="Liberation Serif" w:eastAsia="Liberation Serif"/>
    </w:rPr>
  </w:style>
  <w:style w:styleId="FootnoteText" w:type="paragraph">
    <w:name w:val="Footnote Text"/>
    <w:basedOn w:val="Normal"/>
    <w:next w:val="FootnoteText"/>
    <w:uiPriority w:val="9"/>
    <w:unhideWhenUsed/>
    <w:qFormat/>
    <w:rPr>
      <w:rFonts w:ascii="Liberation Serif" w:hAnsi="Liberation Serif" w:eastAsia="Liberation Serif"/>
    </w:rPr>
  </w:style>
  <w:style w:styleId="FootnoteBlockText" w:type="paragraph">
    <w:name w:val="Footnote Block Text"/>
    <w:basedOn w:val="Footnote Text"/>
    <w:next w:val="Footnote Text"/>
    <w:uiPriority w:val="9"/>
    <w:unhideWhenUsed/>
    <w:qFormat/>
    <w:pPr>
      <w:spacing w:after="100" w:before="100"/>
      <w:ind w:firstLine="0" w:left="480" w:right="480"/>
    </w:pPr>
    <w:rPr>
      <w:rFonts w:ascii="Liberation Serif" w:hAnsi="Liberation Serif" w:eastAsia="Liberation Serif"/>
    </w:r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Liberation Serif" w:hAnsi="Liberation Serif" w:eastAsia="Liberation Serif"/>
      <w:b/>
    </w:rPr>
  </w:style>
  <w:style w:customStyle="1" w:styleId="Definition" w:type="paragraph">
    <w:name w:val="Definition"/>
    <w:basedOn w:val="Normal"/>
    <w:rPr>
      <w:rFonts w:ascii="Liberation Serif" w:hAnsi="Liberation Serif" w:eastAsia="Liberation Serif"/>
    </w:rPr>
  </w:style>
  <w:style w:styleId="Caption" w:type="paragraph">
    <w:name w:val="Caption"/>
    <w:basedOn w:val="Normal"/>
    <w:link w:val="BodyTextChar"/>
    <w:pPr>
      <w:spacing w:after="120" w:before="0"/>
    </w:pPr>
    <w:rPr>
      <w:rFonts w:ascii="Liberation Serif" w:hAnsi="Liberation Serif" w:eastAsia="Liberation Serif"/>
      <w:i/>
    </w:rPr>
  </w:style>
  <w:style w:customStyle="1" w:styleId="TableCaption" w:type="paragraph">
    <w:name w:val="Table Caption"/>
    <w:basedOn w:val="Caption"/>
    <w:pPr>
      <w:keepNext/>
    </w:pPr>
    <w:rPr>
      <w:rFonts w:ascii="Liberation Serif" w:hAnsi="Liberation Serif" w:eastAsia="Liberation Serif"/>
    </w:rPr>
  </w:style>
  <w:style w:customStyle="1" w:styleId="ImageCaption" w:type="paragraph">
    <w:name w:val="Image Caption"/>
    <w:basedOn w:val="Caption"/>
    <w:rPr>
      <w:rFonts w:ascii="Liberation Serif" w:hAnsi="Liberation Serif" w:eastAsia="Liberation Serif"/>
    </w:rPr>
  </w:style>
  <w:style w:customStyle="1" w:styleId="Figure" w:type="paragraph">
    <w:name w:val="Figure"/>
    <w:basedOn w:val="Normal"/>
    <w:rPr>
      <w:rFonts w:ascii="Liberation Serif" w:hAnsi="Liberation Serif" w:eastAsia="Liberation Serif"/>
    </w:rPr>
  </w:style>
  <w:style w:customStyle="1" w:styleId="CaptionedFigure" w:type="paragraph">
    <w:name w:val="Captioned Figure"/>
    <w:basedOn w:val="Figure"/>
    <w:pPr>
      <w:keepNext/>
    </w:pPr>
    <w:rPr>
      <w:rFonts w:ascii="Liberation Serif" w:hAnsi="Liberation Serif" w:eastAsia="Liberation Serif"/>
    </w:r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ascii="Liberation Serif" w:hAnsi="Liberation Serif" w:eastAsia="Liberation Serif"/>
      <w:b w:val="0"/>
      <w:bCs w:val="0"/>
      <w:color w:themeColor="accent1" w:themeShade="BF" w:val="365F91"/>
    </w:rPr>
  </w:style>
  <w:style w:type="paragraph" w:customStyle="1" w:styleId="SourceCode">
    <w:name w:val="Source Code"/>
    <w:basedOn w:val="Normal"/>
    <w:link w:val="VerbatimChar"/>
    <w:pPr>
      <w:wordWrap w:val="off"/>
    </w:pPr>
    <w:rPr>
      <w:rFonts w:ascii="Liberation Serif" w:hAnsi="Liberation Serif" w:eastAsia="Liberation Serif"/>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68" Type="http://schemas.openxmlformats.org/officeDocument/2006/relationships/image" Target="media/rId68.png"/><Relationship Id="rId53" Type="http://schemas.openxmlformats.org/officeDocument/2006/relationships/image" Target="media/rId53.png"/><Relationship Id="rId36" Type="http://schemas.openxmlformats.org/officeDocument/2006/relationships/image" Target="media/rId36.png"/><Relationship Id="rId27" Type="http://schemas.openxmlformats.org/officeDocument/2006/relationships/image" Target="media/rId27.pn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BitFP: An Agent-Native Proof-of-Work System</dc:title>
  <dc:creator>BitFP Project</dc:creator>
  <cp:keywords/>
  <dcterms:created xsi:type="dcterms:W3CDTF">2026-09-07T05:30:49Z</dcterms:created>
  <dcterms:modified xsi:type="dcterms:W3CDTF">2026-09-08T00:00:00Z</dcterms:modified>
  <dc:subject>Technical Whitepaper v0.5 - Pre-Testnet Draft</dc:subject>
</cp:coreProperties>
</file>

<file path=docProps/custom.xml><?xml version="1.0" encoding="utf-8"?>
<Properties xmlns="http://schemas.openxmlformats.org/officeDocument/2006/custom-properties" xmlns:vt="http://schemas.openxmlformats.org/officeDocument/2006/docPropsVTypes"/>
</file>